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28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febrero de 2001 don Francisco Velasco Muñoz Cuellar, Procurador de los Tribunales y de don Hector Millán Callabed, interpuso recurso de amparo contra la Sentencia de 26 de diciembre de 2000 de la Audiencia Provincial de Zaragoza, Sección Tercera, que resuelve recurso de apelación contra la dictada por el Juez de lo penal núm. 4 de Zaragoza en el procedimiento abreviado 112-2000, seguido por delito contra la propiedad intelectual.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El recurrente fue absuelto, junto con otros dos coprocesados, del delito contra la propiedad intelectual del que era acusado por Sentencia del Juez de lo penal núm. 4 de los de Zaragoza, de fecha 24 de julio de 2000. Esta Sentencia estimó que no existía suficiente prueba de cargo que acreditase quién de los acusados poseía programas informáticos ilegalmente duplicados en su domicilio. b) b) Contra la anterior resolución se interpuso recurso de apelación por la acusación particular, recurso al que se adhirió el Ministerio Público, y que fue estimado por la Sentencia de 26 de diciembre de 2000, dictada por la Sección Tercera de la Audiencia Provincial de Zaragoza, que revoca la de instancia, modifica los hechos declarados probados por aquella y condena al recurrente y a los otros dos acusados, como autores de un delito contra la propiedad intelectual del art. 270.1 CP, a la pena de seis meses de prisión, inhabilitación especial para el derecho de sufragio pasivo durante el tiempo de la condena y costas, así como a indemnizar conjunta y solidariamente a las empresas perjudicadas en la cantidad de 54.550.006 pesetas más intereses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se declare que las resoluciones judiciales citadas han vulnerado los derechos del recurrente a la tutela judicial efectiva (art. 24.1 CE), a un proceso con todas las garantías (art. 24.2 CE) y a la presunción de inocencia (art. 24.2 CE), así como el principio de legalidad (art. 25.1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artículo 56.1 LOTC, el demandante solicita se deje en suspenso la ejecución de la Sentencia, alegando que su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julio de 2002 la Sala Segunda de este Tribunal acordó la admisión a trámite de la demanda, así como, a tenor de lo establecido en el artículo 51 LOTC, comunicar a los órganos judiciales la admisión del presente recurso de amparo (dado que la remisión del testimonio de las actuaciones ya había sido solicitada en el recurso de amparo núm 446-2001) y solicitar al Juzgado de lo penal núm. 4 de Zaragoza que emplazara a quienes fueron parte en el procedimiento, a excepción del demandante de amparo, para que pudieran comparecer en el recurso de amparo si tal fuese su deseo.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artículo 56 LOTC, conceder un plazo común de tres días al Fiscal y al recurrente en amparo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29 de julio de 2002 tuvo entrada en el Registro General de este Tribunal el escrito de alegaciones del Ministerio Público. En dicho escrito, tras un breve relato de los antecedentes procesales, se sostiene la conveniencia de acceder a la suspensión interesada con respecto al cumplimiento de la pena privativa de libertad y de la accesoria. Entiende el Fiscal, sobre la base de la doctrina constitucional, que la ejecución de la pena privativa de libertad de seis meses de prisión podría generar perjuicios irreparables para el demandante. Sin embargo, en relación con el abono de las costas y de la responsabilidad civil, al tratarse de sanciones de contenido económico y no acreditarse en la demanda de amparo la irreparabilidad del perjuicio, considera el Ministerio Público que no procede en el momento actual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30 de julio de 2002 se registró en este Tribunal el escrito de alegaciones del demandante de amparo, en el que se reitera la solicitud de suspensión de la ejecución, tanto de la pena privativa de libertad como de las costas y la responsabilidad civil impuestas por la Sentencia recurrida, por entender que en todos los casos el perjuicio que podría producirse es irreparable. En relación con los pronunciamientos de contenido económico señala que, para hacer frente a los mismos, se podría subastar un bien inmueble, cuya recuperación sería imposible con posterioridad.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artículo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dicha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de la misma (seis meses) con el tiempo que requiere la tramitación de un proceso como el presente, ha de concluirse que no suspender su ejecución ocasionaría un perjuicio irreparable que dejaría totalmente en entredicho la eficacia de un eventual fallo estimatorio. Por otro lado, atendidas las demás circunstancias concurrentes en el caso (que no se trata de un delito de especial gravedad, que la pena impuesta es de corta duración y que se trata de un condenado que delinquía por primera vez), no se aprecia que acceder a la suspensión solicitada ocasione una lesión específica y grave del interés general más allá de aquella que de por sí produce la no ejecución de un fallo judicial (AATC 163/1996, 419/1997, 48/1998, 262/1998, 106/2002). Igualmente procede la suspensión de la pena accesoria legal de inhabilitación especial para el ejercicio de derecho de sufragio pasivo durante el tiempo de la condena, pues, como señala el Ministerio Fiscal, conforme a nuestra Jurisprudencia las penas accesorias han de seguir la misma suerte que la principal (AATC 114/1984, 267/1995, 286/1997, 258/2000, 63/2001, 106/2002).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(costas procesales e indemnización) de conformidad con el criterio de este Tribunal de que, por tratarse de condenas de contenido económico, los perjuicios anejos a su ejecución son perfectamente reparables en caso de estimarse el amparo (AATC 152/1996, 371/1996, 91/1997, 181/1998, 182/1998, 273/1998, 189/2000, 193/2000, 204/2000, 106/2002). 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ni la indemnización impuesta (54.550.006 pesetas, a abonar conjunta y solidariamente con otros dos condenados) es de extraordinaria cuantía, ni se ha acreditado la irreparabilidad del perjuicio derivado de la ejecución por la concurrencia de circunstancias especiales. El recurrente se limita a afirmar que, de ejecutarse el embargo que pesa sobre sus bienes, el perjuicio no podría repararse, porque no podría recuperar el bien, pero no aporta prueba alguna sobre sus dificultades económicas para hacer frente al pago de la cantidad en cuestión (lo que evitaría la ejecución del embargo), ni acredita la existencia del citado embargo, ni que se haya solicitado la ejecución del mismo. Y, como reiteradamente hemos sostenido, la acreditación del perjuicio es carga del recurrente, quien debe además probar, o al menos justificar ofreciendo un principio razonable de prueba, la irreparabilidad del perjuicio (por todos, AATC 253/1995, 72/1997, 93/2002).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Sección Tercera de la Audiencia Provincial de Zaragoza de 26 de diciembre de 2000 exclusivamente en lo referente a la pena privativa de libertad de seis meses de prisión y a la accesoria de</w:t>
      </w:r>
    </w:p>
    <w:p w:rsidRPr="" w:rsidR="00AD51A7" w:rsidRDefault="008777C4">
      <w:pPr>
        <w:rPr/>
      </w:pPr>
      <w:r w:rsidRPr="&lt;w:rPr xmlns:w=&quot;http://schemas.openxmlformats.org/wordprocessingml/2006/main&quot;&gt;&lt;w:szCs w:val=&quot;24&quot; /&gt;&lt;/w:rPr&gt;">
        <w:rPr/>
        <w:t xml:space="preserve">inhabilitación especial para el ejercicio del derecho de sufragio pasivo por el tiempo de la condena impuesta a don Hector Millán Callabed.</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veintiocho de enero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