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308</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29 de mayo de 2002, la Procuradora de los Tribunales doña María Marta Sanz Amaro, en nombre y representación de don José Sánchez Caparrós, interpone recurso de amparo contra la Sentencia dictada por la Sección Séptima de la Audiencia Provincial de Alicante, con sede en la ciudad de Elche, el 30 de abril de 2002, que revocó en apelación la dictada por el Juzgado de lo Penal núm. 2 de Elche el 19 de febrero de 2002, en causa seguida por delito de robo con intimidación.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25 de julio de 2003, la Sección Primera acordó, respectivamente, admitir la demanda de amparo y la apertura de pieza separada para la tramitación del incidente sobre suspensión de la ejecución, concediendo al demandante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parte, mediante escrito registrado el 31 de julio de 2003, formula sus alegaciones, iterando la solicitud de suspensión de la ejecución de la condena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evacuó el trámite conferido mediante escrito registrado el 1 de septiembre de 2003. En dicho escrito, de conformidad con la doctrina constitucional aplicable, interesó la suspensión de la pena privativa de libertad y accesoria, oponiéndose a la suspensión en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arreglo a lo dispuesto en el art. 56.1 LOTC la Sala que conozca de un recurso de amparo suspenderá la ejecución del acto de los poderes públicos por razón del cual se ha interpuesto cuando, de llevarse a cabo la ejecución, se "hubiere de causar un perjuicio que haría perder al amparo su finalidad", aunque habría de denegarse la suspensión si de ella pudiera seguirse "perturbación grave de los intereses generales o de los derechos fundamentales o libertades públicas de un tercero". De ello deriva, como regla general, que la admisión del recurso no conlleva la suspensión de la ejecución de los actos recurridos, pues han de ponderarse, por un lado, el perjuicio que derivaría de la ejecución y, por otro, la perturbación que podría general la suspensión.</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que se acredite el carácter irreparable del perjuicio que daría lugar a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219/1996, 419/1997, 274/1998, 117/1999, 227/1999, 292/2000, 41/2001, 155/2002 y 7/2003).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la base de esta doctrina general este Tribunal tiene declarado que a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por regla general, la misma suerte que la pena principal a la que acompañan (entre otros muchos, AATC 144/1984, 267/1995, 7/1996, 152/1996, 87/1997, 286/1997, 182/1998, 271/1998, 114/2000, 286/2000, 63/2001 y 26/2003).</w:t>
      </w:r>
    </w:p>
    <w:p w:rsidRPr="00C21FFE" w:rsidR="00AD51A7" w:rsidRDefault="008777C4">
      <w:pPr>
        <w:rPr/>
      </w:pPr>
      <w:r w:rsidRPr="&lt;w:rPr xmlns:w=&quot;http://schemas.openxmlformats.org/wordprocessingml/2006/main&quot;&gt;&lt;w:lang w:val=&quot;es-ES_tradnl&quot; /&gt;&lt;/w:rPr&gt;">
        <w:rPr/>
        <w:t xml:space="preserve">Y también venimos declarando que la ejecución de las sentencias cuyos efectos son fundamentalmente patrimoniales o de contenido económico, ni causa un perjuicio irreparable al obligado al pago por la sentencia condenatoria, ni el amparo puede perder su finalidad, ya que es posible la restitución íntegra de lo ejecutado (AATC 573/1985, 574/1985, 275/1990 y 106/2002, por todos). Esta doctrina resulta igualmente aplicable a la condena en costas procesales, pues, al entrañar un pago en dinero, su ejecución no provoca ningún perjuicio que pueda hacer inútil el recurso de amparo (AATC 244/1991, 267/1995, 44/2001 y 86/2003, entr3. En la resolución objeto del presente recurso el demandante de amparo fue condenado, como autor responsable de un delito de robo con intimidación, a la pena de tres años y seis meses de prisión, con la accesoria de inhabilitación especial para el derecho de sufragio pasivo durante el tiempo que dure la condena, debiendo indemnizar conjunta y solidariamente con otro en 282'47 € a los perjudicados.</w:t>
      </w:r>
    </w:p>
    <w:p w:rsidRPr="00C21FFE" w:rsidR="00AD51A7" w:rsidRDefault="008777C4">
      <w:pPr>
        <w:rPr/>
      </w:pPr>
      <w:r w:rsidRPr="&lt;w:rPr xmlns:w=&quot;http://schemas.openxmlformats.org/wordprocessingml/2006/main&quot;&gt;&lt;w:lang w:val=&quot;es-ES_tradnl&quot; /&gt;&lt;/w:rPr&gt;">
        <w:rPr/>
        <w:t xml:space="preserve">De conformidad con la doctrina acabada de extractar procede, en primer lugar, la suspensión de la ejecución de la pena privativa de libertad. Su aplicación al caso obliga a considerar, si se compara la duración de la pena privativa de libertad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106/2002, 164/2002 y 8/2003, entre los últimos). Igualmente procede la suspensión de la pena accesoria del derecho de sufragio pasivo durante el tiempo de la condena pues, conforme a nuestra jurisprudencia, las penas accesorias han de seguir en principio la misma suerte que la principal (AATC 248/2001, 305/2001, 22/2002, 106/2002, 273/2002 y 8/2003), dado que, de no acordar la suspensión, resultaría evidente la parcial pérdida de la finalidad del amparo que inevitablemente conlleva el cumplimiento de la pena mientras dura la tramitación del presente proceso (AATC 88/1981, 486/1983, 476/1984, 53/1992, 196/1995, 214/1995, 312/1995, 121/1996, 226/1996, 228/1996, 310/1996, 394/1996, 47/1998, 48/1998 y 208/1998).</w:t>
      </w:r>
    </w:p>
    <w:p w:rsidRPr="00C21FFE" w:rsidR="00AD51A7" w:rsidRDefault="008777C4">
      <w:pPr>
        <w:rPr/>
      </w:pPr>
      <w:r w:rsidRPr="&lt;w:rPr xmlns:w=&quot;http://schemas.openxmlformats.org/wordprocessingml/2006/main&quot;&gt;&lt;w:lang w:val=&quot;es-ES_tradnl&quot; /&gt;&lt;/w:rPr&gt;">
        <w:rPr/>
        <w:t xml:space="preserve">En segundo lugar, no procede la suspensión de la Sentencia en lo atinente a los pronunciamientos sobre indemnización, de conformidad con el criterio de este Tribunal de que, por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no se ha acreditado la irreparabilidad del perjuicio derivado de la ejecución por la concurrencia de circunstancias especiales. El recurrente no aporta prueba alguna sobre dificultades económicas para hacer frente al pago de la cantidad en cuestión y, como reiteradamente hemos sostenido, la acreditación del menoscabo es carga del recurrente, quien debe además probar, o al menos justificar ofreciendo un principio razonable de prueba, la irreparabilidad del perjuicio (por todos, AATC 253/1995, 72/1997, 93/2002, 164/2002, 7/2003 y 26/2003).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pena de privación de libertad impuesta al recurrente en la Sentencia dictada por la Sección Séptima de la Audiencia Provincial de Alicante de 30 de abril de 2002, junto a la accesoria de inhabilitación para el derecho de</w:t>
      </w:r>
    </w:p>
    <w:p w:rsidRPr="" w:rsidR="00AD51A7" w:rsidRDefault="008777C4">
      <w:pPr>
        <w:rPr/>
      </w:pPr>
      <w:r w:rsidRPr="&lt;w:rPr xmlns:w=&quot;http://schemas.openxmlformats.org/wordprocessingml/2006/main&quot;&gt;&lt;w:szCs w:val=&quot;24&quot; /&gt;&lt;/w:rPr&gt;">
        <w:rPr/>
        <w:t xml:space="preserve">sufragio pasivo.</w:t>
      </w:r>
    </w:p>
    <w:p w:rsidRPr="" w:rsidR="00AD51A7" w:rsidRDefault="008777C4">
      <w:pPr>
        <w:rPr/>
      </w:pPr>
      <w:r w:rsidRPr="&lt;w:rPr xmlns:w=&quot;http://schemas.openxmlformats.org/wordprocessingml/2006/main&quot;&gt;&lt;w:szCs w:val=&quot;24&quot; /&gt;&lt;/w:rPr&gt;">
        <w:rPr/>
        <w:t xml:space="preserve">2º. Denegar la suspensión de la ejecución en lo que respecta a los demás pronunciamientos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representación del recurrente y al Ministerio Fiscal.</w:t>
      </w:r>
    </w:p>
    <w:p w:rsidRPr="" w:rsidR="00AD51A7" w:rsidRDefault="008777C4">
      <w:pPr>
        <w:rPr/>
      </w:pPr>
      <w:r w:rsidRPr="&lt;w:rPr xmlns:w=&quot;http://schemas.openxmlformats.org/wordprocessingml/2006/main&quot;&gt;&lt;w:szCs w:val=&quot;24&quot; /&gt;&lt;/w:rPr&gt;">
        <w:rPr/>
        <w:t xml:space="preserve">Madrid, a veintinueve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