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16 de enero de 2001, don Álvaro Ignacio García Gómez, Procurador de los Tribunales y de don Pedro Ávila Arellano, interpuso recurso de amparo constitucional contra las resolución reseñada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constitucional trae causa de los siguientes hechos: </w:t>
      </w:r>
    </w:p>
    <w:p w:rsidRPr="00C21FFE" w:rsidR="00AD51A7" w:rsidRDefault="008777C4">
      <w:pPr>
        <w:rPr/>
      </w:pPr>
      <w:r w:rsidRPr="&lt;w:rPr xmlns:w=&quot;http://schemas.openxmlformats.org/wordprocessingml/2006/main&quot;&gt;&lt;w:lang w:val=&quot;es-ES_tradnl&quot; /&gt;&lt;/w:rPr&gt;">
        <w:rPr/>
        <w:t xml:space="preserve">a) El demandante actúo como letrado de su esposa en un juicio de menor cuantía tramitado en el Juzgado de Primera Instancia núm. 3 de Parla, una vez dictada Sentencia en contra de los intereses del recurrente, e iniciada la ejecución de la misma, se interpuso por el demandante de amparo incidente de oposición a la ejecución. </w:t>
      </w:r>
    </w:p>
    <w:p w:rsidRPr="00C21FFE" w:rsidR="00AD51A7" w:rsidRDefault="008777C4">
      <w:pPr>
        <w:rPr/>
      </w:pPr>
      <w:r w:rsidRPr="&lt;w:rPr xmlns:w=&quot;http://schemas.openxmlformats.org/wordprocessingml/2006/main&quot;&gt;&lt;w:lang w:val=&quot;es-ES_tradnl&quot; /&gt;&lt;/w:rPr&gt;">
        <w:rPr/>
        <w:t xml:space="preserve">b) Posteriormente el recurrente en su propio nombre y en representación de su esposa y defendida, formuló ante el Juzgado de Instrucción denuncia contra la juez que falló el pleito civil antes mencionado. También presentó escrito de recusación. La juez mediante Acuerdo de 12 de julio de 2000, impuso al recurrente corrección disciplinaria de multa de 40.000 pesetas, por haber formulado afirmaciones, en el incidente de ejecución, como "el juzgador ha decidido sin juicio" o "ha dictado una sentencia sin juicio". Contra dicho Acuerdo interpuso el demandante recurso de audiencia en justicia, que fue desestimado por Acuerdo de 20 de julio de 2000. Interpuesto recurso de alzada ante la Sala de Gobierno del Tribunal Superior de Justicia de Madrid, fue desestimado por Acuerdo, ahora impugnado, de 27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libertad de expresión en el ejercicio del derecho de defensa, así como la vulneración de su derecho fundamental a un proceso con todas las garantías, en su vertiente de derecho a un juez imparcial; finalmente considera vulnerados sus derechos fundamentales a la tutela judicial efectiva y a no padecer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otrosí el actor solicitó, de acuerdo con lo dispuesto en el art. 56 LOTC, la suspensión de la ejecución de los acuerdos impugnados, pues de lo contrario se le ocasionaría un grave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acordó, mediante providencia de 23 de marzo de 2004, la admisión a trámite de la demanda de amparo y asimismo, a tenor de lo dispuesto en el art. 51 LOTC, ordenó que se requiriese atentamente al Juzgado de Primera Instancia núm. 3 de Parla, para que en el plazo de diez días se emplazara a quienes habían sido parte en la pieza separada de corrección disciplinaria correspondiente a los Autos de juicio de menor vuantía núm. 157/98, a excepción del recurrente de amparo, que aparece ya personado, para que en el plazo de diez días pudieran comparecer en el presente proceso constitucional,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mediante escrito de 5 de abril de 2004 reiteró su petición de suspensión de los Acuerdos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 escrito de alegaciones el 5 de abril de 2004. En él sostenía que, de acuerdo con la constante jurisprudencia de este Tribunal, por todos ATC 69/2004, este Tribunal ha establecido el criterio de que "la ejecución de las resoluciones judiciales cuyos efectos son fundamentalmente patrimoniales o de contenido económico, ni causa un perjuicio irreparable al obligado al pago, ni puede hacer perder el amparo su finalidad, al ser posible la restitución íntegra de lo ejecutado, por lo que no resulta procedente acordar la suspensión, máxime si el recurrente no aduce razón laguna que justifique la procedencia de la suspensión en su caso concreto por los irreparables perjuicios que pudiera acarrearle la imposibilidad material de atender al pago, frustrando así la finalidad del amparo impetrado".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dicha doctrina, este Tribunal ha establecido, tal y como recuerda el Ministerio Fiscal, el criterio de que la ejecución de las resoluciones judiciales, o como en este caso resoluciones gubernativas de Órganos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Por tanto, en aplicación de dicha doctrina no procede sino denegar la suspensión solicitada, toda vez que el Acuerdo impugnado impone una multa en cuantía de 40.000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de los Acuerdos impugnados.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