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209</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10 de septiembre de 2002, don Julián Sánchez Monzón, representado por el Procurador de los Tribunales don Roberto Sastre Moyano, interpuso recurso de amparo contra la Sentencia de 24 de julio de 2002, dictada por la Sala de lo Contencioso-Administrativo del Tribunal Superior de Justicia de Murcia en el recurso contencioso-administrativo núm. 170/99, por considerar que vulnera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imputa a la Sentencia recurrida la vulneración del derecho a la tutela judicial efectiva, al no existir pronunciamiento sobre el fondo de la cuestión planteada en el recurso contencioso administrativo, toda vez que ha sido inadmitido "por no existir acto presunto impugnable al no haber solicitado certificación de actos presuntos".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2 de marzo de 2004 acuerda la admisión a trámite del recurso de amparo y, en aplicación de lo dispuesto en el art. 51 LOTC, se requiere a la Sección Segunda de la Sala de lo Contencioso-Administrativo del Tribunal Superior de Justicia de Murcia y al Ayuntamiento de Las Torres de Cotillas, que, en el plazo de diez días remitan, respectivamente, testimonio del recurso núm. 170/99 y del expediente administrativo correspondiente a la reclamación efectuada por el recurrente en fecha 31 de julio de 1998, sobre responsabilidad patrimonial por anormal funcionamiento de los servicios públicos. Asimismo, se interesa de la Sala de instancia emplace a quienes fueron parte en el procedimiento, excepto la parte recurrente en amparo, para que en el plazo de diez días puedan comparecer en 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por el Procurador Sr. Sastre Moyano en el Registro General el día 16 de marzo de 2004, interesa se declare el archivo de la demanda de amparo, por satisfacción extraprocesal del Ayuntamiento de Las Torres de Cotillas.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Ayuntamiento de Las Torres de Cotillas, por comunicación que ha tenido entrada en el Tribunal el 29 de marzo de 2004, informa que, con posterioridad a la Sentencia recurrida en amparo, el expediente administrativo finalizó por acuerdo transaccional con el reclamante, ahora recurrente en amparo, Sr. Sánchez Monzón.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dictada por la Sala Primera el día 10 de mayo de 2004, se dio traslado al Ministerio Fiscal para que en el plazo de diez días alegara lo que estimara pertinente en relación con la solicitud de archivo de las presentes actuaciones por satisfacción extraprocesal.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por dictamen que tuvo entrada en el Tribunal el 21 de mayo de 2004, manifiesta que no se opone a que se ponga término al procedimiento.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desaparición sobrevenida del objeto del proceso por satisfacción extraprocesal de la pretensión, aun cuando no se contempla en el art. 86.1 LOTC, ha sido admitida por este Tribunal como forma de terminación de los distintos procesos constitucionales (AATC 14/1991, 139/1998, de 16 de junio, y 221/2002, de 11 de noviembre,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recurso de amparo, el expediente administrativo del Ayuntamiento de las Torres de Cotillas, origen del recurso contencioso administrativo en el que recayó la Sentencia recurrida en amparo, ha finalizado por acuerdo transaccional de las partes, por lo que cabe afirmar que el recurso de amparo ha perdido su objeto, haciendo innecesario un pronunciamiento de este Tribunal en torno a la vulneración del derecho a la tutela judicial efectiva (art. 24.1 CE) por parte de la Sentencia de la Sala de lo Contencioso- Administrativo del Tribunal Superior de Justicia de Murcia de 24 de julio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todo lo expuesto, no concurriendo tampoco circunstancia alguna de interés general que aconseje la prosecución del proceso hasta su finalización por Sentencia, procede declarar que el presente recurso de amparo ha perdido su objeto por satisfacción extraprocesal de la pretensión.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por desaparición de objeto el recurso de amparo num. 5096-2002.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