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212</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 de junio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fue registrado en este Tribunal el 24 de diciembre de 2002, la Procuradora de los Tribunales dona María del Coral Lorrio Alonso, en nombre y representación de la Compañía Sánchez Rubio S.A., interpuso recurso de amparo contra el Auto del Juzgado de Primera Instancia núm. 5 de Madrid, de 27 de noviembre de 2002, que desestimó el recurso de reposición interpuesto contra el Auto del mismo Juzgado por el que se declaró no haber lugar a la nulidad solicitada por la demandante. La demanda de amparo imputa al mencionado Auto una supuesta vulneración del derecho a la tutela judicial efectiva con indefensión (art. 24.1 CE), ya que se había tramitado el proceso judicial sin conocimiento de la ahora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Sustanciado el trámite regulado en el art. 51 LOTC, el recurso de amparo se admitió a trámite por providencia de la Sección Segunda de este Tribunal de 19 de enero de 2004; se acordó formar pieza separada de suspensión y, de conformidad con lo dispuesto en él art. 56 LOTC, y previo los trámites oportunos, mediante Auto de 9 'de febrero de 2004, este Tribunal acordó la suspensión de las resoluciones judiciales impugnadas (Sentencia del Juzgado de la Instancia num. 5 de Madrid, y Autos de 17 de julio y 27 de noviembre de 2002 de dicho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que tuvo entrada en este Tribunal el 25 de febrero de 2004, la representación procesal de Guadix, S.A., parte procesal en el pleito del que trae causa el presente recurso de amparo, interpuso contra el Auto que acordó la referida suspensión recurso de súplica, al amparo del art.93.2 LOTC, alegando, básicamente, que dicha resolución había sido dictada inaudita parte Dicho recurso fue desestimado mediante Auto de 19 de abril de 2004; en el mismo se recordaba el carácter mudable del acuerdo de suspensión, tal como lo configura el art. 57 de la Ley Orgánica de este Tribunal, que permite su modificación de oficio o a instancia de parte, tan pronto aparezcan o se conozcan circunstancias no tenidas en cuenta al adoptarse y que pueden ser alegadas en cualquier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de 26 de abril de 2004, la representación procesal de Guadix, S.A, solicitó el levantamiento de la suspensión acordada al amparo del art. 57 LOTC, dado que, a su juicio, se había producido un cambio de circunstancias, concretamente una supuesta falsedad de documentos imputable a la recurrente en amparo, así como una ocultación del domicilio social de la misma; por último, estimaba que habiendo afianzado la posibles consecuencias económicas que se derivarían de la ejecución de las resoluciones suspendidas, carecía de base la suspensión acordada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10 de mayo de 2004, se acordó admitir a trámite el anterior escrito, así como oír por término de tres días, al Ministerio Fiscal y a la representación de Sánchez Rubio S.A., para que alegaran lo que a su derecho conviniera.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de 20 de mayo de 2004, solicitó la ratificación del Auto de suspensión, ya que no se había acreditado alteración de las circunstancias como alegaba el solicitante; entiende que no se ha demostrado falsificación documental alguna imputable a la sociedad recurrente, ni la ocultación de su domicilio social. Por otra parte entiende que el afianzamiento llevado a cabo no desvirtúa las razones tenidas en cuenta por este Tribunal para acordar la suspensión de la ejecución de la resolución recurrida, ya que dichas razones no atendieron a criterios exclusivamente económicos, por lo que finaliza solicitando la no modificación del Auto que acordó la suspensión de la ejecución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la recurrente en amparo, por escrito que tuvo entrada en este Tribunal el 19 de mayo de 2004, se opuso a los argumentos esgrimidos de contrario, explicando, en primer lugar, que el traslado de domicilio social no supone ninguna alteración de circunstancias de las señaladas en el art. 57 LOTC, ya que dicho cambio no es una situación sobrevenida; argumenta que este Tribunal, mediante Auto de 9 de febrero de 2004, acordó la suspensión de la resolución impugnada, que frente a dicho Auto la representación procesal de Guadix, S.A. interpuso recurso de súplica, que fue desestimado, cuando ya se había producido el mencionado cambio de domicilio social, por lo que carece de sentido su alegación en estos momentos. Continúa argumentando que la modificación del domicilio social es práctica habitual en el tráfico mercantil, entrando a analizar otras cuestiones que más tienen que ver con el fondo del presente recurso de amparo que con el actual trámite. Solicita, por último, la desestimación de la petición de alzamiento de la suspensión acordada por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 Guadix, S.A., parte demandante en el proceso judicial origen del presente recurso de amparo, viene a pedir el alzamiento de la suspensión acordada mediante Auto de este Tribunal de 9 de febrero de 2004, por el que se acordó la suspensión de la ejecución de las resoluciones judiciales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razones esgrimidas por la representación procesal de Guadix, S.A. para fundamentar su petición, se refieren a que se había producido un cambio de circunstancias, concretamente una supuesta falsedad de documentos imputable a la recurrente en amparo así como una ocultación del domicilio social de la misma, y que, habiendo afianzado la posibles consecuencias económicas que se derivarían de la ejecución de las resoluciones suspendidas, carecía de base la suspensión acordada en su día.  Sin embargo, respecto de esta última alegación ya señalamos en el Auto que acordó la suspensión, que procede apreciar la misma en aquellos supuestos en los cuales la afectación de los bienes del recurrente o. de sus derechos patrimoniales pudiera devenir difícilmente reversible; así ha sucedido cuando la ejecución conllevaba el embargo y adjudicación a un tercero de buena fe de determinados bienes inmuebles, el desalojo de viviendas o locales, de negocio y, en general, la transmisión del dominio sobre aquéllos, con la consiguiente consolidación de una posición jurídicamente inatacable o de muy difícil y costoso restablecimiento (AATC 565/1986, 52/1997, 129/1997, 205/1997, 99/1998). De hecho, como recuerda el ATC 313/1999, de 15 de diciembre, no faltan ejemplos en la jurisprudencia constitucional que acuerdan la suspensión de las resoluciones que obligan al desalojo de locales de negocio, precisamente por la significada trascendencia y el carácter difícilmente reparable de los perjuicios que ello ocasionaría, sin que el afianzamiento alegado pueda solventar dichos perjuicios.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respecta a la presunta falsedad documental que se atribuye a la recurrente de amparo y la ocultación de su domicilio social, debe señalarse que tales circunstancias corresponden a la cuestión de fondo del presente recurso de amparo, no pudiendo ser analizadas en este trámite procesal. No procede, en efecto, en este incidente examinar ni la concurrencia ni la ausencia de apariencia de buen derecho, porque la regulación del art. 56 LOTC no se vale de este criterio para conceder o denegar la suspensión solicitada. La perspectiva única que ha de ser tenida en cuenta para decidir sobre ella es la preservación de la eficacia del pronunciamiento que ponga fin al recurso de amparo, "pronunciamiento que, por eventual, nunca puede anticiparse en la pieza de suspensión" (por todos, ATC 258/1996, de 24 de septiembre, FJ 2 y Auto 187/2003 de 2 de junio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todo lo dicho y en aplicación de los criterios jurisprudenciales establecidos en relación al asunto que nos ocupa, no cabe sino concluir ratificando el Auto de 9 de febrero de 2004, por el que se acordó la suspensión de la ejecución de las resoluciones judiciales impugnadas.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acordada mediante Auto de este Tribunal de 9 de febrero de 2004, relativo a la Sentencia del Juzgado de Primera Instancia num. 5 de Madrid y a los Autos de 17 de julio y 27 de noviembre de 2002 de dicho Juzgado.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junio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