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19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febrero de 2003, el Procurador de los Tribunales don Fernando Meras Santiago, en nombre y representación de don Olegario López Montesinos, interpuso recurso de amparo contra la Sentencia núm. 70/2002 dictada en apelación por la Sección Segunda de la Audiencia Provincial de Málaga el 8 de febrero de 2002, contra la Sentencia núm. 325/2002 del Juzgado de lo Penal núm. 2 de los de Málaga, dictada el 29 de mayo de 2002, y contra la Sentencia dictada en apelación por la Sección Segunda de la Audiencia Provincial de Málaga, de 26 de noviembre de 2002. En la demanda de amparo se solicitaba, por otrosí digo, la suspensión de la pena impuesta hasta tanto no se resuelva el presente recurso de amparo, dado que la suspensión de la misma haría perder al recurso su finalidad produciendo al demandante en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los que se basa la demanda son los siguientes: </w:t>
      </w:r>
    </w:p>
    <w:p w:rsidRPr="00C21FFE" w:rsidR="00AD51A7" w:rsidRDefault="008777C4">
      <w:pPr>
        <w:rPr/>
      </w:pPr>
      <w:r w:rsidRPr="&lt;w:rPr xmlns:w=&quot;http://schemas.openxmlformats.org/wordprocessingml/2006/main&quot;&gt;&lt;w:lang w:val=&quot;es-ES_tradnl&quot; /&gt;&lt;/w:rPr&gt;">
        <w:rPr/>
        <w:t xml:space="preserve">a) En el Juzgado de Instrucción núm. 3 de Estepona se incoaron las diligencias previas núm. 54/98 para averiguación de un delito contra la salud pública, contra el ahora demandante y otros tres inculpados más cuyo enjuiciamiento correspondió al Juzgado de lo Penal núm. 2 de Málaga, que incoó el procedimiento abreviado 37-2000, y en fecha 9 de febrero de 2001, dictó sentencia absolutoria. b) Interpuesto recurso de apelación por el Ministerio Fiscal, fue estimado por sentencia de 8 de febrero de 2002, dictada por la Sección Segunda de la Audiencia Provincial de Málaga, que decretó la nulidad de la sentencia de instancia. c) En fecha 29 de mayo de 2002 por el Magistrado Juez de lo Penal núm. 2 de Málaga, se dictó sentencia en la que entre otros pronunciamiento le impuso a don Olegario López Montesinos, como autor responsable de un delito contra la salud pública, de sustancia que no causa grave daño a la salud, en su modalidad agravada de notoria cuantía (arts. 368 y 369 CP) concurriendo la circunstancia agravante reincidencia (art. 22.8 CP) la pena de cuatro años de prisión e inhabilitación para el derecho de sufragio `pasivo y para empleo o cargo público durante el tiempo de la condena, multa de 787.325,86 euros y costas, acordándose el comiso de la droga intervenida y de la embarcación utilizada. d) Dicha Sentencia fue recurrida en apelación por los condenados entre ellos el Sr. López Montesinos, siendo desestimado el recurso por sentencia de 26 de noviembre de 2002, dictada por la Sección Segunda de la Audiencia Provincial de Málaga, que declaró de oficio las costas de la alzada. Tal sentencia fue notificada a don Olegario López Montesinos el 10 de diciembre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 entrada en el registro general del Tribunal Constitucional de 13 de febrero de 2003, don Olegario López Montesinos deduce demanda de amparo contra las Sentencias de 8 de febrero y 26 de noviembre de 2002, dictadas por la Sección Segunda de la Audiencia Provincial de Málaga, y contra la sentencia de 29 de mayo de 2002 dictada por el Juzgado de lo Penal núm. 2 de Málaga, por vulneración del derecho al secreto de las comunicaciones (art. 18.3 CE), vulneración del derecho a la tutela judicial efectiva (art. 24.2 CE) y vulneración del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junio de 2004, dictadas por la Sala Segunda del Tribunal Constitucional, se acordó admitir a trámite la demanda, así como formar la correspondiente pieza separada de suspensión de conformidad con lo solicitado por el demandante. Por otra providencia de esa misma fecha, la Sección acordó, de conformidad con lo prevenido en el art. 56 de la Ley Orgánica del tribunal Constitucional, conceder un plazo común de tres días al Ministerio Fiscal y al solicitante de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a trámite de alegaciones mediante escrito registrado en este Tribunal con fecha de 16 de junio de 2004 en el que, de conformidad con la reiterada doctrina de este Tribunal, consideraba que no resultaba procedente acceder a la suspensión de la pena de multa impuesta y de la condena en costas por tratarse, en ambos casos, de sendos pronunciamientos de mero contenido patrimonial cuya ejecución no ocasionaría al recurrente un perjuicio irreparable al admitir su restitución íntegra en caso de una eventual estimación del recurso de amparo. Por lo que respecta a la pena privativa de libertad, el Fiscal manifestaba en dicho escrito su parecer no favorable a suspender su ejecución considerando el riesgo de reiteración delictiva por parte del demandante, con la consiguiente perturbación de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por su parte, evacuó idéntico trámite mediante escrito registrado en este Tribunal el día 15 de junio de 2003, en el que insistía en su anterior alegación acerca de que la no concesión de la suspensión de la pena solicitada haría perder al amparo su legítima finalidad, y no sólo porque ocasionaría al demandante un perjuicio irreparable caso de estimarse su petición de amparo, sino también debido a la crítica situación familiar, tanto en lo económico como en lo relativo a la salud familiar.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(por todos, AATC 99/2002, de 5 de junio, FJ 1; 223/2002, de 11 de noviembre, FJ 2; 9/2003, de 9 de enero, FJ 1 o 26/2003, de 28 de enero, FJ 1) que, cuando se trata de resoluciones judiciales, la suspensión de su ejecución entraña en sí misma una perturbación del interés general consistente en mantener su eficacia (art. 117.3 CE), a la vez que afecta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AATC 9/2003, de 9 de enero, FJ 1 o 26/2003, de 28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concreta de esta doctrina general este Tribunal tiene declarado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(AATC 573/1985, 574/1985, 275/1990, 106/2002 y 119/2003, por todos). Esta doctrina resulta igualmente aplicable a la condena en costas procesales, pues, al entrañar un pago en dinero, su ejecución no provoca ningún perjuicio que pueda hacer inútil el recurso de amparo (AATC 244/1991, 267/1995, 44/2001,36/2003 y 138/2003, entre otros muchos).</w:t>
      </w:r>
    </w:p>
    <w:p w:rsidRPr="00C21FFE" w:rsidR="00AD51A7" w:rsidRDefault="008777C4">
      <w:pPr>
        <w:rPr/>
      </w:pPr>
      <w:r w:rsidRPr="&lt;w:rPr xmlns:w=&quot;http://schemas.openxmlformats.org/wordprocessingml/2006/main&quot;&gt;&lt;w:lang w:val=&quot;es-ES_tradnl&quot; /&gt;&lt;/w:rPr&gt;">
        <w:rPr/>
        <w:t xml:space="preserve">Sin embargo, y pesar del carácter excepcional de la suspensión, procede, en principio, otorgarla si las resoluciones judiciales afectan a bienes o derechos del recurrente de amparo de imposible o muy difícil restitución a su estado anterior, como ocurre con las condenas a penas de privación de libertad. Dicha suspensión implicará, paralelamente, la de las penas accesorias de suspensión de cargo público, profesión u oficio y derecho de sufragio durante el tiempo que dure la condena, al seguir la misma suerte que la pena principal a la que acompañan (ATC 256/2003, de 14 de julio de 2003, FJ 2).</w:t>
      </w:r>
    </w:p>
    <w:p w:rsidRPr="00C21FFE" w:rsidR="00AD51A7" w:rsidRDefault="008777C4">
      <w:pPr>
        <w:rPr/>
      </w:pPr>
      <w:r w:rsidRPr="&lt;w:rPr xmlns:w=&quot;http://schemas.openxmlformats.org/wordprocessingml/2006/main&quot;&gt;&lt;w:lang w:val=&quot;es-ES_tradnl&quot; /&gt;&lt;/w:rPr&gt;">
        <w:rPr/>
        <w:t xml:space="preserve">Este criterio, no obstante, no es absoluto, pues la doctrina que hemos elaborado señala que, en este último supuesto,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9/2003, de 9 de enero, FJ 1 o 26/2003, de 28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reseñada conduce a denegar la suspensión de la condena impuesta al recurrente en lo relativo a la pena de multa y a la imposición de las costas procesales. Por lo que respecta, en cambio, a la pena privativa de libertad que le fue impuesta por tiempo de cuatro años, procede acordar la suspensión ya que, de no concederse, se habría ocasionado un perjuicio irreparable al demandante de amparo toda vez que, como ya hemos declarado en anteriores ocasiones (por todos AATC 269/1998, de 26 de noviembre, 84/2002, de 20 de mayo, y 31/2003, de 28 de enero), pudiendo quedar comprendida la duración de la condena a pena de prisión, una vez descontado el tiempo pasado en situación preventiva, dentro de la posible duración de la tramitación del presente recurso, éste perdería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Conceder la suspensión solicitada en lo que a la pena privativa de libertad de refiere.</w:t>
      </w:r>
    </w:p>
    <w:p w:rsidRPr="" w:rsidR="00AD51A7" w:rsidRDefault="008777C4">
      <w:pPr>
        <w:rPr/>
      </w:pPr>
      <w:r w:rsidRPr="&lt;w:rPr xmlns:w=&quot;http://schemas.openxmlformats.org/wordprocessingml/2006/main&quot;&gt;&lt;w:szCs w:val=&quot;24&quot; /&gt;&lt;/w:rPr&gt;">
        <w:rPr/>
        <w:t xml:space="preserve">2º Denegar la suspensión en lo tocante al resto de los pronunciamientos contenidos en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