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21 de enero de 2004, la Procuradora de los Tribunales doña María Eva de Guinea y Reunes, en nombre y representación de don Felipe Gómez Orejuela y de don Julián Blázquez Hernández, interpuso recurso de amparo contra la Sentencia de la Sala Segunda del Tribunal Supremo de 28 de noviembre de 2003 por la que se confirmó en casación la condena impuesta en instancia a los recurrentes, como autores responsables de un delito contra la Hacienda pública, por la Sentencia de la Sección Sexta de la Audiencia Provincial de Barcelona de 31 de julio de 2000.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31 de julio de 2000, la Sección Sexta de la Audiencia Provincial de Barcelona dictó una Sentencia en la que condenaba a los demandantes de amparo, como autores responsables cada uno de un delito contra la Hacienda pública, a las siguientes penas: 1) a don Felipe Gómez Orejuela, a un año de prisión, con la accesoria de inhabilitación especial para el derecho de sufragio pasivo durante el tiempo de la condena, y multa por importe de 49.000.000 de pesetas, con responsabilidad personal subsidiaria de tres meses en caso de impago, así como a satisfacer a la Generalitat de Cataluña la cantidad de 48.094.326 pesetas, con sus correspondientes intereses legales, en concepto de indemnización y al pago de la decimotercera parte de las costas procesales; 2) a don Julián Blázquez Hernández, a un año de prisión, con idéntica pena accesoria, y multa por importe de 38.000.000 de pesetas, con responsabilidad personal subsidiaria de tres meses en caso de impago, así como a satisfacer a la Generalitat de Cataluña la cantidad de 37.384.326 pesetas, con sus intereses legales, en concepto de indemnización y al pago de la decimotercera parte de las costas procesales. </w:t>
      </w:r>
    </w:p>
    <w:p w:rsidRPr="00C21FFE" w:rsidR="00AD51A7" w:rsidRDefault="008777C4">
      <w:pPr>
        <w:rPr/>
      </w:pPr>
      <w:r w:rsidRPr="&lt;w:rPr xmlns:w=&quot;http://schemas.openxmlformats.org/wordprocessingml/2006/main&quot;&gt;&lt;w:lang w:val=&quot;es-ES_tradnl&quot; /&gt;&lt;/w:rPr&gt;">
        <w:rPr/>
        <w:t xml:space="preserve">b) Presentado por los demandantes de amparo recurso de casación contra la anterior resolución, fue desestimado por Sentencia de la Sala Segunda del Tribunal Supremo de 28 de noviembre de 2003, notificada a la representación de los recurrentes el día 23 de diciembre de ese mismo año. </w:t>
      </w:r>
    </w:p>
    <w:p w:rsidRPr="00C21FFE" w:rsidR="00AD51A7" w:rsidRDefault="008777C4">
      <w:pPr>
        <w:rPr/>
      </w:pPr>
      <w:r w:rsidRPr="&lt;w:rPr xmlns:w=&quot;http://schemas.openxmlformats.org/wordprocessingml/2006/main&quot;&gt;&lt;w:lang w:val=&quot;es-ES_tradnl&quot; /&gt;&lt;/w:rPr&gt;">
        <w:rPr/>
        <w:t xml:space="preserve">Se alega en la demanda que la Sentencia dictada en sede de apelación ha vulnerado los derechos de los demandantes de amparo a la tutela judicial efectiva sin indefensión, a un proceso con todas las garantías y a la presunción de inocencia, reconocidos todos ellos en los apartados 1 y 2 del art. 24.2 CE. </w:t>
      </w:r>
    </w:p>
    <w:p w:rsidRPr="00C21FFE" w:rsidR="00AD51A7" w:rsidRDefault="008777C4">
      <w:pPr>
        <w:rPr/>
      </w:pPr>
      <w:r w:rsidRPr="&lt;w:rPr xmlns:w=&quot;http://schemas.openxmlformats.org/wordprocessingml/2006/main&quot;&gt;&lt;w:lang w:val=&quot;es-ES_tradnl&quot; /&gt;&lt;/w:rPr&gt;">
        <w:rPr/>
        <w:t xml:space="preserve">En apoyo de la última de dichas pretendidas vulneraciones de derechos fundamentales, se argumenta que la única prueba de cargo existente en la que poder fundamentar el fallo condenatorio estuvo constituida por una prueba pericial que carecía de validez a tales efectos, al haber sido aportada por órgano manifiestamente incompetente. A este respecto, se alega que habiendo sido iniciado por la Agencia estatal de la Administración Tributaria (AEAT) el procedimiento de inspección y verificación relativo al IRPF a satisfacer por los demandantes de amparo, dicho procedimiento culminó cuatro años después sin que por la AEAT se hubiese efectuado liquidación ni pronunciado resolución alguna, momento en el que, antes de que transcurriera el plazo de cinco años de prescripción del delito fiscal, la acusación pública presentó una querella por motivo de la supuesta defraudación de otro impuesto distinto -el de Sucesiones y Donaciones- sin que, pese a estar cedido dicho tributo a la Administración autonómica, los órganos inspectores de la Generalitat hubiesen tenido intervención alguna. De manera que el procedimiento penal en cuestión habría sido iniciado en virtud de investigaciones de comprobación y verificación efectuadas por órgano no competente. </w:t>
      </w:r>
    </w:p>
    <w:p w:rsidRPr="00C21FFE" w:rsidR="00AD51A7" w:rsidRDefault="008777C4">
      <w:pPr>
        <w:rPr/>
      </w:pPr>
      <w:r w:rsidRPr="&lt;w:rPr xmlns:w=&quot;http://schemas.openxmlformats.org/wordprocessingml/2006/main&quot;&gt;&lt;w:lang w:val=&quot;es-ES_tradnl&quot; /&gt;&lt;/w:rPr&gt;">
        <w:rPr/>
        <w:t xml:space="preserve">Por otra parte, una vez personada en el mismo la Abogacía del Estado en nombre de la Administración del Estado, por escrito de fecha 28 de mayo de 1997 se apartó del procedimiento por considerar que de las diligencias previas no se desprendía la existencia de ilícito penal alguno en perjuicio de la Hacienda pública, aunque más tarde intentaría de nuevo infructuosamente que se le tuviera por personada y parte. También consta el escrito de desistimiento presentado por la Generalitat de Cataluña. En consecuencia, la única acusación ejercida contra los demandantes de amparo fue la formulada por el Ministerio Fiscal, sin que el representante del teórico perjudicado (la Hacienda de la Generalitat de Catalunya) sostuviera ningún tipo de acción contra ellos. </w:t>
      </w:r>
    </w:p>
    <w:p w:rsidRPr="00C21FFE" w:rsidR="00AD51A7" w:rsidRDefault="008777C4">
      <w:pPr>
        <w:rPr/>
      </w:pPr>
      <w:r w:rsidRPr="&lt;w:rPr xmlns:w=&quot;http://schemas.openxmlformats.org/wordprocessingml/2006/main&quot;&gt;&lt;w:lang w:val=&quot;es-ES_tradnl&quot; /&gt;&lt;/w:rPr&gt;">
        <w:rPr/>
        <w:t xml:space="preserve">Iniciado el juicio oral, se aportó como prueba de cargo el informe pericial en su día emitido por los inspectores de la AEAT, sin que fuera recabado ningún informe dimanante de los Servicios de Inspección de la Generalitat. La petición de condena de los recurrentes habría sido, en consecuencia, mantenida por el Ministerio Fiscal sobre la base de un informe pericial emitido por órgano incompetente -por más que los mencionados inspectores de la AEAT fueran transformados a posteriori en peritos ad hoc- y sin que la supuesta víctima del delito se hubiese considerado perjudicada por la actuación atribuida a aquéllos. Fuera de dicha prueba, que se afirma plagada de presunciones, no habría habido otra en el proceso en la que basar el fallo condenatorio recaído sobre los demandantes de amparo, por lo que dicho fallo se habría fundamentado exclusivamente en un informe-denuncia confeccionado por un órgano incompetente sobre la base de simples hipótesis no acreditadas y elaboradas en función de meros juicios de valor y sospechas -en concreto: la de que los demandantes recibieron las cantidades supuestamente defraudadas en concepto de donación, dado que no suministraron una explicación verosímil de que lo hubieran recibido como pago por servicios prestados- lo que les privaría de valor al efecto de desvirtuar la presunción de inocencia obrante a favor de los solicitantes de amparo. A los propios inspectores que confeccionaron el precitado informe-denuncia les extrañó el que dichas cantidades hubiesen sido donadas a quienes, como los recurrentes, no tenían relación alguna familiar o de amistad con el “donante”, de manera que la conclusión alcanzada acerca de que debió tratarse de un acto de liberalidad por parte de este último no sólo no aparecería acreditada por prueba alguna, sino que se opondría a lo explicado en distintos momentos del procedimiento por los demandantes de amparo en el sentido de que la entrega de dichas cantidades obedeció a su interés en participar, dada su condición de agentes de la propiedad inmobiliaria, en la sociedad creada por los restantes acusados. La negativa por parte de los órganos judiciales de instancia y de casación a admitir la verosimilitud de dicha explicación y su decisión, en cambio, a favor de la credibilidad de una donación que únicamente se presentaba como conjetura ayuna de toda apoyatura probatoria, serían, en consecuencia, lesivas del derecho de los actores a la presunción de inocencia. </w:t>
      </w:r>
    </w:p>
    <w:p w:rsidRPr="00C21FFE" w:rsidR="00AD51A7" w:rsidRDefault="008777C4">
      <w:pPr>
        <w:rPr/>
      </w:pPr>
      <w:r w:rsidRPr="&lt;w:rPr xmlns:w=&quot;http://schemas.openxmlformats.org/wordprocessingml/2006/main&quot;&gt;&lt;w:lang w:val=&quot;es-ES_tradnl&quot; /&gt;&lt;/w:rPr&gt;">
        <w:rPr/>
        <w:t xml:space="preserve">Las restantes vulneraciones aducidas en la demanda ad cautelam, para el caso de que no prosperara la acabada de exponer, tienen como fundamento común la estimación por parte de los recurrentes de que, al no haberse celebrado vista del recurso de casación por ellos presentado, se habría lesionado el principio de doble instancia en materia penal por cuanto la Sala Segunda del Tribunal Supremo habría procedido a pronunciarse sobre la credibilidad de sus manifestaciones de descargo sin gozar para ello de las necesarias garantías de inmediación y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julio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 los demandantes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3 de septiembre de 2004 en el que, de conformidad con la reiterada doctrina dictada al respecto por este Tribunal, consideraba procedente la suspensión, exclusivamente, de la ejecución de la pena privativa de libertad impuesta a los demandantes de amparo, así como de la accesoria de inhabilitación para el ejercicio del derecho de sufragio pasivo durante el tiempo de la condena, no debiendo alcanzar tal efecto, a su juicio, al resto de los pronunciamientos contenidos en la Sentencia dado que, al ser de contenido económico, su no suspensión no ocasionaría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por su parte, evacuó idéntico trámite mediante escrito de fecha 30 de julio de 2004 en el que reiteraba las alegaciones ya formuladas en la demanda de amparo, a lo que se añadía que la no suspensión de la ejecución de las penas pecuniarias y de la responsabilidad civil les ocasionaría un perjuicio irreparable al afectar gravemente a su estabilidad económica y a la de su familia, no habiendo sido reclamadas, por otra parte, por la Hacienda Pública las cantidades que se dicen adeudadas, por lo que no podrían considerarse vulnerados los derechos de este hipotético sujeto pasivo de concederse la suspensión solicitada, además de estar dichas cantidades debidamente avaladas y afianzadas, por lo que tampoco afectaría dicha suspensión ni a los fines del proceso ni a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acordar la suspensión interesada en lo relativo a la pena privativa de libertad dado que, de no suspenderse, podría ocasionarse a los demandantes de amparo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Pr="00C21FFE" w:rsidR="00AD51A7" w:rsidRDefault="008777C4">
      <w:pPr>
        <w:rPr/>
      </w:pPr>
      <w:r w:rsidRPr="&lt;w:rPr xmlns:w=&quot;http://schemas.openxmlformats.org/wordprocessingml/2006/main&quot;&gt;&lt;w:lang w:val=&quot;es-ES_tradnl&quot; /&gt;&lt;/w:rPr&gt;">
        <w:rPr/>
        <w:t xml:space="preserve">La suspensión de la pena privativa de libertad conlleva asimismo la de la pena accesoria de suspensión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Pr="00C21FFE" w:rsidR="00AD51A7" w:rsidRDefault="008777C4">
      <w:pPr>
        <w:rPr/>
      </w:pPr>
      <w:r w:rsidRPr="&lt;w:rPr xmlns:w=&quot;http://schemas.openxmlformats.org/wordprocessingml/2006/main&quot;&gt;&lt;w:lang w:val=&quot;es-ES_tradnl&quot; /&gt;&lt;/w:rPr&gt;">
        <w:rPr/>
        <w:t xml:space="preserve">Por el contrario no procede la suspensión de los pronunciamientos de contenido patrimonial ya que no se ha acreditado circunstancia alguna que conduzca a excepcionar la doctrina general de este Tribunal en la materia expuesta en el Fundamento 2. Y es que, no resulta bastante, a estos efectos, la alegación genérica de los perjuicios que puedan ocasionarse a los recurrentes por el pago de las cantidades a las que han sido condenados.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en lo que a la pena privativa de libertad se refiere</w:t>
      </w:r>
    </w:p>
    <w:p w:rsidRPr="" w:rsidR="00AD51A7" w:rsidRDefault="008777C4">
      <w:pPr>
        <w:rPr/>
      </w:pPr>
      <w:r w:rsidRPr="&lt;w:rPr xmlns:w=&quot;http://schemas.openxmlformats.org/wordprocessingml/2006/main&quot;&gt;&lt;w:szCs w:val=&quot;24&quot; /&gt;&lt;/w:rPr&gt;">
        <w:rPr/>
        <w:t xml:space="preserve">2º Denegar la suspensión en lo tocante al resto de los pronunciamientos contenidos en las resoluciones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