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91</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28 de febrero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5 de febrero de 2004 en este Tribunal el recurrente solicitó asistencia jurídica gratuita para impugnar en amparo la Sentencia de la Sala Segunda del Tribunal Supremo 1683/2003, de 11 de diciembre, recaída en casación contra la dictada por la Audiencia Provincial de Madrid el 4 de junio de 2002, en el procedimiento ordinario 38-2001, seguido por un delito contra la salud pública, siendo formalizada la demanda el posterior 12 de julio, bajo la representación del Procurador don Gustavo García Esquilas.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Incoadas diligencias previas por el Juzgado de Instrucción 42 de Madrid, y continuada su tramitación por el procedimiento ordinario, el Ministerio Fiscal formuló acusación contra diversas personas, entre las que se cuenta el recurrente en amparo. </w:t>
      </w:r>
    </w:p>
    <w:p w:rsidRPr="00C21FFE" w:rsidR="00AD51A7" w:rsidRDefault="008777C4">
      <w:pPr>
        <w:rPr/>
      </w:pPr>
      <w:r w:rsidRPr="&lt;w:rPr xmlns:w=&quot;http://schemas.openxmlformats.org/wordprocessingml/2006/main&quot;&gt;&lt;w:lang w:val=&quot;es-ES_tradnl&quot; /&gt;&lt;/w:rPr&gt;">
        <w:rPr/>
        <w:t xml:space="preserve">b) La Audiencia Provincial de Madrid, competente para el enjuiciamiento de la causa, condenó al recurrente, en su Sentencia de 4 de junio de 2002, como autor responsable de un delito contra la salud pública de sustancias estupefacientes de las que causan grave daño a la salud en cantidad de notoria importancia, sin circunstancias modificativas de la responsabilidad criminal, a las penas de once años de prisión y multa de 775.000 euros, con su accesoria de inhabilitación absoluta durante el tiempo que dure la condena, así como al pago de las costas procesales en una parte proporcional al número de condenados. </w:t>
      </w:r>
    </w:p>
    <w:p w:rsidRPr="00C21FFE" w:rsidR="00AD51A7" w:rsidRDefault="008777C4">
      <w:pPr>
        <w:rPr/>
      </w:pPr>
      <w:r w:rsidRPr="&lt;w:rPr xmlns:w=&quot;http://schemas.openxmlformats.org/wordprocessingml/2006/main&quot;&gt;&lt;w:lang w:val=&quot;es-ES_tradnl&quot; /&gt;&lt;/w:rPr&gt;">
        <w:rPr/>
        <w:t xml:space="preserve">c) Don José Pizarro Dual interpuso recurso de casación por infracción de precepto constitucional, alegando que se habían vulnerado sus derechos al secreto de las comunicaciones y a la presunción de inocencia. </w:t>
      </w:r>
    </w:p>
    <w:p w:rsidRPr="00C21FFE" w:rsidR="00AD51A7" w:rsidRDefault="008777C4">
      <w:pPr>
        <w:rPr/>
      </w:pPr>
      <w:r w:rsidRPr="&lt;w:rPr xmlns:w=&quot;http://schemas.openxmlformats.org/wordprocessingml/2006/main&quot;&gt;&lt;w:lang w:val=&quot;es-ES_tradnl&quot; /&gt;&lt;/w:rPr&gt;">
        <w:rPr/>
        <w:t xml:space="preserve">d) La Sentencia de la Sala de lo Penal del Tribunal Supremo 1683/2003, de 11 de diciembre, declaró no haber lugar al recurso de casación. En lo que afecta al recurso de casación interpuesto por el recurrente en amparo afirma que ninguna de las aducidas lesiones se han 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aduce que las resoluciones judiciales impugnadas lesionan los derechos al secreto de las comunicaciones y a un proceso con todas las garantías (arts. 18.3 y 24.2 CE), a la presunción de inocencia (art. 24.2 CE) y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acordó, a través de providencia de 16 de diciembre de 2004, admitir a trámite esta demanda de amparo, solicitando, al amparo del art. 51 LOTC, la remisión de las oportunas actuaciones judiciales al Tribunal Supremo y confiriendo un plazo de diez días para que pudieran comparecer en este proceso, si lo deseasen, quienes hubieran sido parte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la misma fecha la Sala Segunda acordó formar, a partir de una fotocopia de la demanda de amparo interpuesta, la oportuna pieza para la tramitación del incidente sobre suspensión, confiriendo un plazo de tres días para que la parte recurrente y el Ministerio público se pronuncien sobre la pertinencia de dicha suspensión. </w:t>
      </w:r>
    </w:p>
    <w:p w:rsidRPr="00C21FFE" w:rsidR="00AD51A7" w:rsidRDefault="008777C4">
      <w:pPr>
        <w:rPr/>
      </w:pPr>
      <w:r w:rsidRPr="&lt;w:rPr xmlns:w=&quot;http://schemas.openxmlformats.org/wordprocessingml/2006/main&quot;&gt;&lt;w:lang w:val=&quot;es-ES_tradnl&quot; /&gt;&lt;/w:rPr&gt;">
        <w:rPr/>
        <w:t xml:space="preserve">El 29 de diciembre de 2004 fue registrado el escrito de alegaciones de la representación procesal del recurrente, que se centra en la suspensión de la pena privativa de libertad. Se hace notar que de los once años de prisión ya se han cumplido cuarenta y cinco meses, y que la suspensión de la condena no causa una perturbación grave de los intereses generales y se ve avalada por las condiciones personales del recurrente (con domicilio conocido, trabajo y padre de cuatro hijos menores). </w:t>
      </w:r>
    </w:p>
    <w:p w:rsidRPr="00C21FFE" w:rsidR="00AD51A7" w:rsidRDefault="008777C4">
      <w:pPr>
        <w:rPr/>
      </w:pPr>
      <w:r w:rsidRPr="&lt;w:rPr xmlns:w=&quot;http://schemas.openxmlformats.org/wordprocessingml/2006/main&quot;&gt;&lt;w:lang w:val=&quot;es-ES_tradnl&quot; /&gt;&lt;/w:rPr&gt;">
        <w:rPr/>
        <w:t xml:space="preserve">El Fiscal, en alegaciones que fueron ingresadas en este Tribunal el día 3 de enero de 2005, interesó que este Tribunal no acordara la suspensión de la condena impugnada en amparo. En cuanto a la pena privativa de libertad, porque estamos en presencia de una condena de indudable gravedad y extensa duración, lo que hace que el eventual otorgamiento del amparo no se revele ineficaz. La pena accesoria, según constante doctrina del Tribunal, debe seguir la misma suerte que la principal. Finalmente, en lo atinente al abono de la multa y de las costas, tampoco procede acordar la suspensión, porque estamos ante pronunciamientos de naturaleza económica, y resultan reparables los perjuicios que se derivan de su ejecución.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307/1999, de 13 de diciembre,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(FJ 1).</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(por todos, 164/2002, de 30 de septiembre, FJ 1 y las resoluciones allí citadas)” (ATC 9/2003, FJ 1 in fine).</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Ley Orgánica que regula este Tribunal,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 la resolución, acto o disposición impugnados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en amparo solicitó en su día la suspensión de la condena impuesta por las resoluciones judiciales impugnadas en amparo, y ha reiterado tal pretensión en las alegaciones vertidas al amparo del art. 56 LOTC, si bien centrándose, exclusivamente, en la privación de libertad a la que se ve sometido. Se hace notar, en este sentido, que ya se han cumplido cuarenta y cinco meses de los once años de prisión a los que ha sido condenado. El Ministerio Público interesa, por su parte, que este Tribunal no acuerde la suspensión solicitada por entender que su mantenimiento no provoca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Debemos denegar la suspensión interesada por el recurrente, ya que, “como recordábamos en [el ATC] 140/2004, en la suspensión de las resoluciones judiciales que condenan a penas privativas de libertad este Tribunal tiene en cuenta que dicha pena afecta a bienes o derechos del recurrente en amparo de imposible o muy difícil restitución a su estado anterior, en caso de su estimación, pero no sólo. Este criterio no es absoluto, pues la doctrina que hemos elaborado señala que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220/1999; 114/2000; 146/2001; y 22/2002).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214/1997; 273/1998; y 289/2001)"” (ATC 433/2004, de 15 de noviembre, FJ 1). Compartimos el criterio expresado por el Fiscal, que recuerda la gravedad del delito y la duración de la condena impuesta (y de la que, todavía a fecha de hoy, queda por cumplir).</w:t>
      </w:r>
    </w:p>
    <w:p w:rsidRPr="00C21FFE" w:rsidR="00AD51A7" w:rsidRDefault="008777C4">
      <w:pPr>
        <w:rPr/>
      </w:pPr>
      <w:r w:rsidRPr="&lt;w:rPr xmlns:w=&quot;http://schemas.openxmlformats.org/wordprocessingml/2006/main&quot;&gt;&lt;w:lang w:val=&quot;es-ES_tradnl&quot; /&gt;&lt;/w:rPr&gt;">
        <w:rPr/>
        <w:t xml:space="preserve">3. Igualmente procede la denegación de la suspensión de la pena accesoria de suspensión de empleo o cargo público durante el tiempo de la condena, puesto que, de conformidad con nuestra jurisprudencia en este punto, las penas accesorias han de seguir en principio la misma suerte que la principal (AATC 248/2001, de 17 de septiembre, FJ 2; 305/2001, de 12 de diciembre, FJ 3 y 9/2003, de 20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procede “la suspensión de la condena en lo que se refiere a los pronunciamientos de contenido patrimonial, de conformidad con el criterio de este Tribunal de que, por tratarse de condenas de contenido económico, los perjuicios anejos a su ejecución son perfectamente reparables en caso de estimarse el amparo (AATC 211/2004, de 2 de junio, FJ 2; 184/2004, de 19 de mayo, FJ 5 y las numerosas resoluciones allí citadas)” (ATC 468/2004, de 29 de noviembre, FJ 1). Y es que, conforme a nuestra consolidada doctrina, “habrá de acordarse la no suspensión de la ejecución salvo que el demandante acredite suficientemente la irreparabilidad que para sus derechos fundamentales pudiera tener la ejecución del fallo, privando al amparo de su finalidad (AATC 51/1989, 136/1996 y 310/1996)” (ATC 173/1999, de 28 de junio, FJ 1). Desde esta perspectiva no es irrelevante que el recurrente no haya hecho alegación alguna, ni en el trámite conferido al amparo del art. 50.3 LOTC, ni, lo que es más importante en este momento, en el acordado en relación expresa con la suspensión (art. 56.2 LOTC), habiéndose limitado su argumentación a justificar la procedencia de la suspensión de la pena privativa de libertad, cuestión sobre la que ya nos hemos pronunciado en líneas anteriores.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las resoluciones recurridas en el presente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febrero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