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25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27 de septiembre de 1997, el Abogado del Estado, en la representación que legalmente ostenta, promovió recurso de inconstitucionalidad contra la Ley 7/1997, 29 de mayo, de la Comunidad Autónoma de Extremadura, medidas fiscales sobre la producción y transporte de energía que incidan en el medio ambiente.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14 de octubre de 1997, el Letrado del Gobierno de la Junta de Extremadura formuló sus alegaciones mediante escrito de 8 de noviembre de 1998. Por su parte, el Letrado de la Asamblea de Extremadura presentó sus alegaciones el día 19 de noviembre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julio de 2005, el Abogado del Estado presenta en este Tribunal un escrito en el que expuso que, debidamente autorizado en virtud de sendos acuerdos del Consejo de Ministros y del Presidente del Gobierno de 2 y 4 de julio de 2005, respectivamente, solicitaba, al amparo de lo establecido en los arts. 80 y 86 LOTC tener por desistido al Presidente del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19 de julio de 2005, acordó oír a las representaciones procesales de la Junta y de la Asamblea de Extremadura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representaciones procesales de la Junta y de la Asamblea de Extremadura mediante escritos 21 y 28 de septiembre de 2005, respectivamente, manifiestan su conformidad con 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LEC), que puede ser parcial, cuando afecta a alguna de las pretensiones en caso de pluralidad del objeto, y total, cuando se refiere a todas o a la única pretensión (SSTC 96/1990, de 24 de mayo,</w:t>
      </w:r>
    </w:p>
    <w:p w:rsidRPr="00C21FFE" w:rsidR="00AD51A7" w:rsidRDefault="008777C4">
      <w:pPr>
        <w:rPr/>
      </w:pPr>
      <w:r w:rsidRPr="&lt;w:rPr xmlns:w=&quot;http://schemas.openxmlformats.org/wordprocessingml/2006/main&quot;&gt;&lt;w:lang w:val=&quot;es-ES_tradnl&quot; /&gt;&lt;/w:rPr&gt;">
        <w:rPr/>
        <w:t xml:space="preserve">FJ 1, y 237/1992, de 15 de diciembre; AATC 33/1993, de 26 de enero, y 173/1997, de 20 de mayo). Así pues, en virtud de los citados preceptos puede estimarse como forma admitida para poner fin a un recurso de inconstitucionalidad o a un conflicto positivo</w:t>
      </w:r>
    </w:p>
    <w:p w:rsidRPr="00C21FFE" w:rsidR="00AD51A7" w:rsidRDefault="008777C4">
      <w:pPr>
        <w:rPr/>
      </w:pPr>
      <w:r w:rsidRPr="&lt;w:rPr xmlns:w=&quot;http://schemas.openxmlformats.org/wordprocessingml/2006/main&quot;&gt;&lt;w:lang w:val=&quot;es-ES_tradnl&quot; /&gt;&lt;/w:rPr&gt;">
        <w:rPr/>
        <w:t xml:space="preserve">de competencia, total o parcialmente, la manifestación de la voluntad de desistir, siempre que, según reiterada doctrina de este Tribunal, no se opongan las demás partes personadas a través de un motivo declarado válido por este Tribunal y no se advierta</w:t>
      </w:r>
    </w:p>
    <w:p w:rsidRPr="00C21FFE" w:rsidR="00AD51A7" w:rsidRDefault="008777C4">
      <w:pPr>
        <w:rPr/>
      </w:pPr>
      <w:r w:rsidRPr="&lt;w:rPr xmlns:w=&quot;http://schemas.openxmlformats.org/wordprocessingml/2006/main&quot;&gt;&lt;w:lang w:val=&quot;es-ES_tradnl&quot; /&gt;&lt;/w:rPr&gt;">
        <w:rPr/>
        <w:t xml:space="preserve">un interés constitucional que justifique la prosecución sin partes del proceso hasta su finalización por Sentencia (AATC, por todos, 233/1993, de 26 de enero; 173/1997, de 20 de mayo; 278/2001, de 30 de octubre; 129/2002, de 16 de julio; y 43/2004, de 10</w:t>
      </w:r>
    </w:p>
    <w:p w:rsidRPr="00C21FFE" w:rsidR="00AD51A7" w:rsidRDefault="008777C4">
      <w:pPr>
        <w:rPr/>
      </w:pPr>
      <w:r w:rsidRPr="&lt;w:rPr xmlns:w=&quot;http://schemas.openxmlformats.org/wordprocessingml/2006/main&quot;&gt;&lt;w:lang w:val=&quot;es-ES_tradnl&quot; /&gt;&lt;/w:rPr&gt;">
        <w:rPr/>
        <w:t xml:space="preserve">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 la Junta y de la Asamblea de Extremadura la solicitud del Abogado del Estado, dichas representaciones no se oponen al desistimiento,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3892/97, planteado en relación con la Ley 7/1997, 29 de mayo, de la Comunidad Autónoma de Extremadura, medidas fiscales sobre</w:t>
      </w:r>
    </w:p>
    <w:p w:rsidRPr="" w:rsidR="00AD51A7" w:rsidRDefault="008777C4">
      <w:pPr>
        <w:rPr/>
      </w:pPr>
      <w:r w:rsidRPr="&lt;w:rPr xmlns:w=&quot;http://schemas.openxmlformats.org/wordprocessingml/2006/main&quot;&gt;&lt;w:szCs w:val=&quot;24&quot; /&gt;&lt;/w:rPr&gt;">
        <w:rPr/>
        <w:t xml:space="preserve">la producción y transporte de energía que incidan en el medio ambiente,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veinticinco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