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423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12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la Sentencia de 1 de marzo de 2003, dictada por la Sección Segunda de la Sala de lo Contencioso-Administrativo del Tribunal Supremo, en el Rollo de casación núm. 1863/98. </w:t>
      </w:r>
    </w:p>
    <w:p w:rsidRPr="00C21FFE" w:rsidR="00AD51A7" w:rsidRDefault="008777C4">
      <w:pPr>
        <w:rPr/>
      </w:pPr>
      <w:r w:rsidRPr="&lt;w:rPr xmlns:w=&quot;http://schemas.openxmlformats.org/wordprocessingml/2006/main&quot;&gt;&lt;w:lang w:val=&quot;es-ES_tradnl&quot; /&gt;&lt;/w:rPr&gt;">
        <w:rPr/>
        <w:t xml:space="preserve">Mediante escrito fechado el 12 de diciembre de 2005, el Magistrado don Ramón Rodríguez Arribas comunicó a los efectos oportunos que se abstenía de intervenir en el antes indicado recurso de amparo, de conformidad con el art. 219.11º LOPJ, al haber formado parte del órgano judicial que dictó la Sentencia ahora impugnada ante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don Ramón Rodríguez Arribas, Magistrado de esta Sala Segunda del Tribunal Constitucional, la Sección, en virtud de lo previsto en los arts. 80 LOTC y 221.4 Ley Orgánica del Poder Judicial , estima justificada la</w:t>
      </w:r>
    </w:p>
    <w:p w:rsidRPr="00C21FFE" w:rsidR="00AD51A7" w:rsidRDefault="008777C4">
      <w:pPr>
        <w:rPr/>
      </w:pPr>
      <w:r w:rsidRPr="&lt;w:rPr xmlns:w=&quot;http://schemas.openxmlformats.org/wordprocessingml/2006/main&quot;&gt;&lt;w:lang w:val=&quot;es-ES_tradnl&quot; /&gt;&lt;/w:rPr&gt;">
        <w:rPr/>
        <w:t xml:space="preserve">causa de abstención formulada, puesto que el mencionado Magistrado ha formado parte del órgano judicial autor de la resolución impugnada en esta sede jurisdiccional.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el Excmo. Sr. don Ramón Rodríguez Arribas en el recurso de amparo con número de registro 4032-2003, apartándole definitivamente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