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3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abril de 2004 tuvo entrada en el Registro de este Tribunal escrito firmado por doña María de los Ángeles Almansa Sanz, en representación de Gestión y Construcción de Obras, S.A. (GESCONSA), en virtud del cual interponía recurso de amparo contra el Auto de 4 de marzo de 2004 de la Sección Primera de la Audiencia Provincial de Albacete que desestimó el recurso de queja interpuesto por la demandante de amparo contra el Auto de 13 de septiembre de 2003 del Juzgado de Primera Instancia de Villarrobledo, que declaró desierto el recurso de apelación planteado por la entidad ahora demandante de amparo. La razón aducida en ambas decisiones es que la apelante no acompañó al escrito de interposición del recurso de apelación el justificante de pago de la tasa por el ejercicio de la potestad jurisdiccional, establecida por el art. 35 de la Ley 53/2002, de 30 de diciembre, a pesar de que se le concedió un plazo de diez días para subsanar el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actora se queja de la vulneración de su derecho a la tutela judicial efectiva como consecuencia de habérsele cerrado la vía del recurso de apelación, entendiendo, por un lado, que no le era exigible la tasa en el momento de preparación del recurso y, por otro, que se trata de una cuestión meramente fiscal, de modo que el impago de la tasa podrá dar lugar a la correspondiente actuación administrativa, mas nunca a impedir el acceso a un trámite procesal. En cualquier caso, considera que la interpretación de la legalidad realizada por los órganos judiciales ha sido desproporcionada o excesivamente formalista en relación con los fines que se preservan y los intereses que se sacrifican.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18 de abril de 2006 la Sala Segunda decidió admitir a trámite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10 de mayo de 2006 la recurrente presentó escrito solicitando la suspensión de los actos de ejecución de la Sentencia, de 28 de febrero de 2003, dictada por el Juzgado de Primera Instancia de Villarrobledo, que quedó firme al declararse desierta la apelación, por considerar irreparables los perjuicios que se derivarían de la misma ya que, habiéndose aprobado la tasación de costas practicada, tendría que pagar 3.647,65 € en concepto de intereses y 8.531,58 € en concepto de costas, en virtud de una resolución que entiende que vulnera sus derechos fundamentales. En concreto, se señala que el desembolso de tales sumas “puede irrogar a esta parte perjuicios de índole considerable, si se tiene en cuenta, la dilación en el procedimiento y la posibilidad de no recobrar ese dinero”.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mayo de 2006, la Sala acordó formar la oportuna pieza para la tramitación del incidente de suspensión y, conforme a lo dispuesto en el art. 56 LOTC, concedió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1 de junio de 2006, tras recordar la doctrina constitucional al respecto, considera que, con independencia de que por la demandante de amparo “no se acredita la irreparabilidad del perjuicio que se derive de la ejecución del Auto recurrido”, en todo caso tal perjuicio sería meramente económico, por lo que “por su propia naturaleza es susceptible de reparación”, todo lo cual le conduce a concluir que procede dictar Auto denegando la suspensión solicitada. </w:t>
      </w:r>
    </w:p>
    <w:p w:rsidRPr="00C21FFE" w:rsidR="00AD51A7" w:rsidRDefault="008777C4">
      <w:pPr>
        <w:rPr/>
      </w:pPr>
      <w:r w:rsidRPr="&lt;w:rPr xmlns:w=&quot;http://schemas.openxmlformats.org/wordprocessingml/2006/main&quot;&gt;&lt;w:lang w:val=&quot;es-ES_tradnl&quot; /&gt;&lt;/w:rPr&gt;">
        <w:rPr/>
        <w:t xml:space="preserve">Por su parte, la recurrente, mediante escrito registrado el 25 de mayo de 2006, reiteró las alegaciones realizadas en el escrito que inició el presente trámite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293/2001, de 26 de noviembre, FJ 1, y 211/2004, de 2 junio,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hay que destacar que, como se indica en el antecedente cuarto, en puridad el incidente de suspensión no se plantea frente a las decisiones recurridas, sino en relación con los actos de ejecución de la resolución devenida firme como consecuencia de la inadmisión del recurso de apelación a que se refieren los Autos recurridos. En tales circunstancias, no resulta posible que este Tribunal arbitre medidas cautelares frente a la ejecución de decisiones que no se encuentran cuestionadas directamente ante él.</w:t>
      </w:r>
    </w:p>
    <w:p w:rsidRPr="00C21FFE" w:rsidR="00AD51A7" w:rsidRDefault="008777C4">
      <w:pPr>
        <w:rPr/>
      </w:pPr>
      <w:r w:rsidRPr="&lt;w:rPr xmlns:w=&quot;http://schemas.openxmlformats.org/wordprocessingml/2006/main&quot;&gt;&lt;w:lang w:val=&quot;es-ES_tradnl&quot; /&gt;&lt;/w:rPr&gt;">
        <w:rPr/>
        <w:t xml:space="preserve">Por otra parte, resulta evidente que las consecuencias que se intentan eludir con la suspensión que se insta, tanto la relativa a los intereses como a las costas procesales, son de contenido estrictamente económico, por lo que les resulta aplicable la doctrina recogida en el último párrafo del fundamento jurídico anterior. En efecto, la actora se limita a señalar, como argumentos del carácter irreversible de los daños que la ejecución le produciría, “la dilación en el procedimiento y la posibilidad de no recobrar ese dinero”, sin aportar dato alguno que avale ninguna de tales afirmaciones.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2223-2004, promovido por Gestión y Construcciones de Obras,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