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21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junio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452-2004), el Auto de la referida Sala de 23 de mayo de 2006, mediante el que se acuerda elevar a este Tribunal cuestión de inconstitucionalidad respecto de la Ley de la Asamblea de Extremadura 7/1997, de 29 de marzo,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452-/2004 interpuesto por “Iberdrola Generación, S.A.” ante la Sala de lo Contencioso-Administrativo del Tribunal Superior de Justicia de Extremadura, contra la Resolución de la Junta Económico-Administrativa Regional de Extremadura de fecha de 10 de marzo de 2004, desestimatoria de la reclamación (núm. 277-2003) interpuesta contra la Resolución de la Dirección General de Ingresos de la Consejería de Economía, Industria y Comercio de la Junta de Extremadura de 16 de septiembre de 2003 por la que se desestimaba la solicitud de devolución de ingresos indebidos en relación con el Impuesto extremeño sobre Instalaciones que incidan en el medio ambiente correspondiente al ejercicio 2003. Admitido y tramitado el citado recurso, y una vez conclusos los autos, el día 25 de abril de 2006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marzo, de medidas fiscales sobre la producción y transporte de energía que incidan sobre el medio ambiente, en cuanto que la misma pudiera vulnerar los arts. 9.3, 133.2, 142 y 151.1, todos ellos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 condiciona dicha potestad a que dichos tributos no puedan “recaer sobre hechos imponibles gravados por el Estado” pero sí sobre “las materias que la legislación de Régimen Local reserve a las Corporaciones Locales” , aunque sólo, “en los supuestos en que dicha legislación lo prevea y en los términos en que la misma contemple” .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julio de 2006, la Sección Tercera de este Tribunal acordó, a los efectos que determina el art. 37.1 LOTC, oír al Fiscal General del Estado para que, en el plazo de diez días, alegase lo que considerase conveniente acerca de la admisibilidad de la presente cuestión de inconstitucionalidad, por si hubiese perdido su objeto (STC 179/2006, de 13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13 de julio de 2006, interesando de este Tribunal que se dicte auto declarando la pérdida de objeto de la presente la cuestión de inconstitucionalidad con fundamento en que es idéntica a la registrada con el núm. 1219/2005, que ha sido resuelta en sentido estimatorio por la STC 179/2006, de 13 de junio, publicada en el BOE de 7 de julio siguiente, en la que se declaraba inconstitucional y nula la Ley de la Asamblea de Extremadura 7/1997, de 29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23 de mayo de 2006,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6397-2006,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