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12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junio de 2006 ha tenido entrada en el Registro General de este Tribunal Constitucional escrito de la Sección Primera de la Sala de lo Contencioso-Administrativo del Tribunal Superior de Justicia de Extremadura al que se acompaña, junto al testimonio del procedimiento ordinario núm. 422-2004, el Auto de la referida Sala de 23 de mayo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éstas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422-2004 interpuesto por “Unión Fenosa Generación, S.A.” ante la Sala de lo Contencioso-Administrativo del Tribunal Superior de Justicia de Extremadura, contra la resolución de la Junta Económico-Administrativa Regional de Extremadura de fecha de 13 de febrero de 2004, desestimatoria de la reclamación (núm. 261-2003) interpuesta contra la resolución del Jefe del Servicio de gestión tributaria e ingresos de la Consejería de hacienda y presupuesto de la Junta de Extremadura de 16 de septiembre de 2003 por la que se desestimaba la solicitud de devolución de ingresos indebidos en relación con el impuesto extremeño sobre instalaciones que incidan en el medio ambiente correspondiente al ejercicio 2003, por importe de 2.279.003,18 €. Admitido y tramitado el citado recurso, y una vez conclusos los autos, el día 25 de abril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julio de 2006, la Sección Primera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23 de mayo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6170-2006,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