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98</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5 de enero de 2006,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sctuación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659-2000) interpuesto por Geproco, S.A.,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15 de octubre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las Cortes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el plazo de quince días pudieran personarse en el proceso y formular alegaciones. 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20 de abril de 2006, solicitando que se le tuviera por personado y parte en nombre del Gobierno y que se dictase en su día Sentencia estimatoria de la cuestión, declarando inconstitucionales y nulos los arts. 51.1.2 e) y 69.2.a.2 de la Ley de las Cortes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24 de abril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Presidente del Senado, mediante escrito registrado el día 26 de abril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el Tribunal el día 26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27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8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0121-2006,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