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103</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5 de enero de 2006, al que se acompaña el correspondiente Auto de 16 de noviembre de 2005,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93-2004) interpuesto por la entidad mercantil Promociones Albacete Hnos. Valero,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14 de julio de 2004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24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letras d) y e); art. 69, apartado 2 y art. 71.3 en cuanto resulta relacionado con el 69, todos ellos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14 de marzo de 2006 (BOE de 30 de marzo), la Sección Primera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Presidente del Senado, mediante escrito registrado el día 30 de marzo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31 de marzo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presentó su escrito de alegaciones el día 4 de abril de 2006, solicitando que se le tuviera por personado y parte en nombre del Gobierno y que se dictase en su día Sentencia estimatoria de la cuestión, declarando inconstitucionales y nulos los arts. 51.1.2 e) y 69.2.a.2, y 71.3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5 de abril de 2006 el Fiscal General del Estado formuló sus alegaciones interesando de este Tribunal Constitucional la estimación de la cuestión de inconstitucionalidad por entender que era idéntica a la 8450-2005, dando por reproducidos los fundamentos expuestos en aquella.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10 de abril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Mediante escrito registrado en el Tribunal el día 12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 La presente cuestión de inconstitucionalidad es idéntica a la núm. 8450-2005 resuelta recientemente por este Tribunal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w:t>
      </w:r>
    </w:p>
    <w:p w:rsidRPr="00C21FFE" w:rsidR="00AD51A7" w:rsidRDefault="008777C4">
      <w:pPr>
        <w:rPr/>
      </w:pPr>
      <w:r w:rsidRPr="&lt;w:rPr xmlns:w=&quot;http://schemas.openxmlformats.org/wordprocessingml/2006/main&quot;&gt;&lt;w:lang w:val=&quot;es-ES_tradnl&quot; /&gt;&lt;/w:rPr&gt;">
        <w:rPr/>
        <w:t xml:space="preserve">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126-2006,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