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334-2000) interpuesto por la mercantil Indunav Albacete, S.L.,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366-2006,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