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399-2002) interpuesto por las mercantiles Villanueva y Gregorio SL y Construcciones Potoalba SL contra la desestimación del recurso de reposición planteado en relación con la resolución del Ayuntamiento de Albacete por la que se requiere al pago del importe económico representativo del 10 por 100 del aprovechamiento urbanístico que ambas empresas deben ceder para que les sea concedida licencia de obra de nueva planta. Conclusas las actuaciones se dictó Auto de 2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10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