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401-2000) interpuesto por la mercantil Mario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11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