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131</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26 de enero de 2006, al que se acompaña el correspondiente Auto de 18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444-2000) interpuesto por la mercantil Jube CB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12 de junio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9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10 de mayo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12 de mayo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el Tribunal el día 19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22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25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w:t>
      </w:r>
    </w:p>
    <w:p w:rsidRPr="00C21FFE" w:rsidR="00AD51A7" w:rsidRDefault="008777C4">
      <w:pPr>
        <w:rPr/>
      </w:pPr>
      <w:r w:rsidRPr="&lt;w:rPr xmlns:w=&quot;http://schemas.openxmlformats.org/wordprocessingml/2006/main&quot;&gt;&lt;w:lang w:val=&quot;es-ES_tradnl&quot; /&gt;&lt;/w:rPr&gt;">
        <w:rPr/>
        <w:t xml:space="preserve">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764-2006,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