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132</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26 de enero de 2006, al que se acompaña el correspondiente Auto de 16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572-2000) interpuesto por la mercantil Construcciones Escolástico Fraile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10 de septiembre de 2001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17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marzo de 2006 (BOE de 8 de abril), la Sección Tercera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el día 9 de mayo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Senado, mediante escrito registrado el día 10 de mayo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12 de mayo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el Tribunal el día 19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22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25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 La presente cuestión de inconstitucionalidad, una vez examinada, debe reputarse resuelta por la doctrina que este Tribunal ha establecido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 71.3, en cuanto se conecte con los apartados a) 2 y 3 del art.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w:t>
      </w:r>
    </w:p>
    <w:p w:rsidRPr="00C21FFE" w:rsidR="00AD51A7" w:rsidRDefault="008777C4">
      <w:pPr>
        <w:rPr/>
      </w:pPr>
      <w:r w:rsidRPr="&lt;w:rPr xmlns:w=&quot;http://schemas.openxmlformats.org/wordprocessingml/2006/main&quot;&gt;&lt;w:lang w:val=&quot;es-ES_tradnl&quot; /&gt;&lt;/w:rPr&gt;">
        <w:rPr/>
        <w:t xml:space="preserve">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765-2006,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