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144</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27 de enero de 2006, al que se acompaña el correspondiente Auto de 18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112-2000) interpuesto por doña María Victoria Terrer Molero contra la desestimación del recurso de reposición planteado en relación con la Resolución del Ayuntamiento de Albacete por la que se requiere al pago del importe económico representativo del 10 por 100 del aprovechamiento urbanístico que debe ceder para que le sea concedida licencia de obra de nueva planta. Conclusas las actuaciones se dictó Auto de 14 de junio de 2001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10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de las Cortes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el plazo de quince días pudieran personarse en el proceso y formular alegaciones. 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12 de mayo de 2006, solicitando que se le tuviera por personado y parte en nombre del Gobierno y que se dictase en su día Sentencia estimatoria de la cuestión, declarando inconstitucionales y nulos los arts. 51.1.2 e) y 69.2.a.2 de la Ley de las Cortes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17 de mayo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23 de mayo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24 de mayo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Mediante escrito registrado en el Tribunal el día 29 de mayo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 de junio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 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824-2006,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