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20 de septiembre de 2003 el Abogado don Luis Miguel Pérez Espadas formuló recurso de amparo en interés de don Mama Tankara contra el Auto del Juzgado de Instrucción núm. 3 de Puerto del Rosario de 22 de agosto anterior, por el que se denegó la incoación de un procedimiento de habeas corpus. Solicitó que se le tuviera por parte en representación del Sr. Tankara, entendiéndose con él las sucesivas diligencias hasta que, dado que el citado Sr. Tankara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Cuarta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1 de marzo de 2005 la designación, con carácter provisional, de la colegiada doña María Eugenia de Francisco Ferreras.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18 de abril de 2005, que ingresó en este Tribunal el día 29 siguiente, el Ilustre Colegio de Abogados de Madrid comunicó que había procedido al archivo de la solicitud de asistencia jurídica gratuita de don Mama Tankara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Tankara suponía, de acuerdo con el art. 18 LAJG, que quedara sin efecto la designación provisional efectuada en su día de la Procuradora doña María Eugenia de Francisco Ferreras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de 2007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STC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5691-2003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Mama Tankara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Tankara,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Tankara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Tankara.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Mama Tankara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