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julio de 2008 tiene entrada en el Registro General de este Tribunal un escrito del Juzgado de lo Penal núm. 2 de Albacete al que se acompaña, junto al testimonio del correspondiente procedimiento (juicio rápido 720-2007), el Auto del referido Juzgado de 14 de abril de 2008 en el que se acuerda plantear cuestión de inconstitucionalidad respecto al art. 153.1 del Código penal (CP) por su posible contradicción con los arts. 1.1, 9, 10, 14, 17, 24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treinta y dos Autos del mismo Juzgado que cuestionaban también el primer inciso del art. 153.1 CP. Las cuestiones a las que dieron lugar tales Autos fueron acumuladas y dieron lugar a la STC 81/2008, de 17 de julio. Un resumen del Auto de planteamiento se encuentra en el antecedente 3 de esta Sentencia, al que ahora procede que nos remitamos.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en primer lugar, que el precepto cuestionado contradice “el principio de igualdad, conectado con los valores de la libertad, la dignidad de la persona y justicia (arts. 1.1, 10.1 y 14 CE)”, al suponer una acción positiva que comporta “la discriminación negativa del varón”. Señala también el Auto, en segundo lugar, que podrían resultar vulnerados el derecho a la presunción de inocencia y el principio de culpabilidad (art. 24.2 CE), por la presunción de que la violencia del varón hacia la mujer que es o fue su pareja constituye una manifestación de discriminación. El precepto se refiere, en tercer lugar, a las “personas especialmente vulnerables”, concepto jurídico indeterminado que se opone al concepto de lex certa y con ello al principio de legalidad (art. 25.1 CE). La última vulneración descrita como posible se refiere al art. 9.2 CE, pues la promoción de las condiciones para la igualdad no es posible a través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julio de 2008, la Sección Primera de este Tribunal acuerda oír al Fiscal General del Estado en relación con la admisibilidad de la presente cuestión de inconstitucionalidad, por si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8 de septiembre de 2008, interesando la inadmisión de la cuestión por devenir infundada la duda planteada, dado que la STC 81/2008, de 17 de julio, con remisión en lo esencial a la STC 59/2008, de 14 de mayo, ha desestimado varias cuestiones de inconstitucionalidad planteadas sobre el mismo precepto por el mismo órgano judicial y con las mismas dudas de constitucionalidad que expone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lugar a la STC 81/2008, de 17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5403-2008, planteada por el Juzgado de lo Penal núm. 2 de Albacete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