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13 de julio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noviembre de 2007 se interpuso por la representación de doña Inmaculada Gálvez Torres y don Javier Arzola Moral recurso amparo por vulneración del derecho a la tutela judicial efectiva (art. 24. 1 CE), en la vertiente de acceso al recurso, y por vulneración del derecho a la libertad de expresión información (art. 20.1 CE), contra el Auto de la Sala Primera del Tribunal Supremo de 31 octubre de 2006, que inadmitía el recurso extraordinario por infracción procesal y el recurso de casación interpuestos contra la Sentencia de la Sección Sexta de la Audiencia Provincial de Málaga de 13 de noviembre de 2001, estimatoria del recurso apelación interpuesto contra la Sentencia de 8 de marzo de 2001 del Juzgado de Primera Instancia núm. 6 de Marbella, desestimatoria de la demanda de protección del derecho al honor. </w:t>
      </w:r>
    </w:p>
    <w:p w:rsidRPr="00C21FFE" w:rsidR="00AD51A7" w:rsidRDefault="008777C4">
      <w:pPr>
        <w:rPr/>
      </w:pPr>
      <w:r w:rsidRPr="&lt;w:rPr xmlns:w=&quot;http://schemas.openxmlformats.org/wordprocessingml/2006/main&quot;&gt;&lt;w:lang w:val=&quot;es-ES_tradnl&quot; /&gt;&lt;/w:rPr&gt;">
        <w:rPr/>
        <w:t xml:space="preserve">Sucintamente, los antecedentes procesales del presente recurso son: </w:t>
      </w:r>
    </w:p>
    <w:p w:rsidRPr="00C21FFE" w:rsidR="00AD51A7" w:rsidRDefault="008777C4">
      <w:pPr>
        <w:rPr/>
      </w:pPr>
      <w:r w:rsidRPr="&lt;w:rPr xmlns:w=&quot;http://schemas.openxmlformats.org/wordprocessingml/2006/main&quot;&gt;&lt;w:lang w:val=&quot;es-ES_tradnl&quot; /&gt;&lt;/w:rPr&gt;">
        <w:rPr/>
        <w:t xml:space="preserve">a) Don Yves Horoit interpuso demanda para la protección de su derecho al honor contra doña Inmaculada Gálvez Torres y don Javier Arzola Moral, por las manifestaciones sobre los antecedentes penales en Bélgica del Sr. Horoit, vertidas públicamente, de las que se hizo eco la prensa local (todo ello en el marco de desacuerdos vecinales), lo cual dio lugar a procedimiento incidental de protección de derechos fundamentales núm. 175-2000 del Juzgado de Primera Instancia núm. 6 de Marbella, que, en Sentencia núm. 48/2001 de 8 de marzo, absolvió a los Srs. Arzola y Gálvez de los pedimentos de la demanda. </w:t>
      </w:r>
    </w:p>
    <w:p w:rsidRPr="00C21FFE" w:rsidR="00AD51A7" w:rsidRDefault="008777C4">
      <w:pPr>
        <w:rPr/>
      </w:pPr>
      <w:r w:rsidRPr="&lt;w:rPr xmlns:w=&quot;http://schemas.openxmlformats.org/wordprocessingml/2006/main&quot;&gt;&lt;w:lang w:val=&quot;es-ES_tradnl&quot; /&gt;&lt;/w:rPr&gt;">
        <w:rPr/>
        <w:t xml:space="preserve">b) Interpuesto recurso de apelación por la representación del Sr. Horoit (rollo de apelación núm. 711-2001), con la oposición de los Srs. Arzola y Gálvez, la Sección Sexta de la Audiencia Provincial de Málaga, en Sentencia núm. 1012/2001, de 13 de noviembre, estimó, tras la debida ponderación de los derechos fundamentales al honor y a la libertad de expresión, que existió intromisión ilegítima en el derecho al honor del Sr. Horoit, condenando a los Srs. Arzola y Gálvez solidariamente a indemnizar a este en la cantidad de 500.000 ptas. en concepto de daño moral, a la publicación de la resolución en el mismo periódico en el que se divulgó, y costas procesales. </w:t>
      </w:r>
    </w:p>
    <w:p w:rsidRPr="00C21FFE" w:rsidR="00AD51A7" w:rsidRDefault="008777C4">
      <w:pPr>
        <w:rPr/>
      </w:pPr>
      <w:r w:rsidRPr="&lt;w:rPr xmlns:w=&quot;http://schemas.openxmlformats.org/wordprocessingml/2006/main&quot;&gt;&lt;w:lang w:val=&quot;es-ES_tradnl&quot; /&gt;&lt;/w:rPr&gt;">
        <w:rPr/>
        <w:t xml:space="preserve">c) Los días 8 de abril y 12 de julio 2002, la representación procesal de los Srs. Arzola y Gálvez interpuso recurso extraordinario por infracción procesal, y recurso de casación, contra la Sentencia de la Audiencia Provincial de Málaga, el cual, tras los trámites oportunos, dio lugar a Auto de 31 de octubre de 2006 de la Sala de lo Civil del Tribunal Supremo de inadmisión de ambos recursos, por considerar que, si bien la resolución era susceptible de los mismos, el recurso extraordinario por infracción procesal fue preparado indebidamente, denunciando genéricamente las distintas vulneraciones (art. 469.2 LEC), y el recurso de casación bajo la invocación de diversos preceptos legales (arts. 477.2.1 LEC, 20 CE; arts. 477.2.2 LEC y 477.2.3 LEC) incurría en “defectuosa técnica casacional” (arts.483.2.2 LEC), al intentar reproducir ante el Supremo la controversia, alterando los hechos declarados probados. </w:t>
      </w:r>
    </w:p>
    <w:p w:rsidRPr="00C21FFE" w:rsidR="00AD51A7" w:rsidRDefault="008777C4">
      <w:pPr>
        <w:rPr/>
      </w:pPr>
      <w:r w:rsidRPr="&lt;w:rPr xmlns:w=&quot;http://schemas.openxmlformats.org/wordprocessingml/2006/main&quot;&gt;&lt;w:lang w:val=&quot;es-ES_tradnl&quot; /&gt;&lt;/w:rPr&gt;">
        <w:rPr/>
        <w:t xml:space="preserve">d) Finalmente, la representación procesal de los Srs. Arzola y Gálvez interpuso incidente de nulidad actuaciones, por vulneración del derecho a la tutela judicial efectiva, como consecuencia de la falta de emplazamiento para personación ante el Tribunal Supremo, en los referidos recursos. Dicho incidente se inadmitió en providencia de la Sala Primera de dicho Tribunal, de 2 de octubre de 2007, en la que se especifica que, siendo la resolución recurrida de fecha 13 de noviembre 2001, y habiéndose remitido los autos a la Sala el 14 de junio 2002, no era exigible legalmente el emplazamiento previsto en la LEC (que entró en vigor el 11 de julio 2003); sin perjuicio de que no existiera obligación de poner de manifiesto las posibles causas de inadmisión a los recurrentes, quienes no estaban personados. </w:t>
      </w:r>
    </w:p>
    <w:p w:rsidRPr="00C21FFE" w:rsidR="00AD51A7" w:rsidRDefault="008777C4">
      <w:pPr>
        <w:rPr/>
      </w:pPr>
      <w:r w:rsidRPr="&lt;w:rPr xmlns:w=&quot;http://schemas.openxmlformats.org/wordprocessingml/2006/main&quot;&gt;&lt;w:lang w:val=&quot;es-ES_tradnl&quot; /&gt;&lt;/w:rPr&gt;">
        <w:rPr/>
        <w:t xml:space="preserve">Los recurrentes en amparo, tras la exposición de los antecedentes fácticos y la modificación legislativa operada en el recurso de amparo por la Ley Orgánica 6/2007, así como la doctrina del Tribunal Constitucional sobre la tutela judicial efectiva, la motivación de la resoluciones, el derecho a un proceso sin dilaciones indebidas, y el derecho los medios de prueba pertinentes en la defensa, consideran que la Sentencia de la Audiencia Provincial, por su concisión, resultaba incongruente; consideraban igualmente que la denegación de determinada documental por el Juzgado de Primera Instancia, sin reparación por la Audiencia Provincial, ni por el Tribunal Supremo, afectó a su derecho constitucional a la prueba; estiman (con un excurso sobre la personación en la casación, antes y después de la Ley 22/2003) que la omisión del trámite de alegaciones, y la falta de entrega o notificación de cédula al emplazamiento ante el Tribunal Supremo, para personación en la casación, supuso una indefensión adicional, que se traduce en lesión del derecho al acceso al recurso. Consideran además que la diferencia del régimen de preparación e interposición, de la casación e infracción procesal, entre los recursos anteriores a la Ley 22/2003 y los posteriores, lesionaría el principio de igualdad de trato ante la ley; y que el legislador, con el cambio normativo, implícitamente, reconoció la indefensión en el régimen anterior. </w:t>
      </w:r>
    </w:p>
    <w:p w:rsidRPr="00C21FFE" w:rsidR="00AD51A7" w:rsidRDefault="008777C4">
      <w:pPr>
        <w:rPr/>
      </w:pPr>
      <w:r w:rsidRPr="&lt;w:rPr xmlns:w=&quot;http://schemas.openxmlformats.org/wordprocessingml/2006/main&quot;&gt;&lt;w:lang w:val=&quot;es-ES_tradnl&quot; /&gt;&lt;/w:rPr&gt;">
        <w:rPr/>
        <w:t xml:space="preserve">Por otra parte, tras repasar los antecedentes fácticos y alegaciones de las diversas instancias sobre el derecho al honor, invoca lesionado el derecho a la libertad de expresión (art. 20.1 CE), al estimar que la Audiencia Provincial no efectuó un adecuado juicio de ponderación de estos derechos, y, que las conclusiones que extrajo resultaban contrarias a la jurisprudencia del TC (SSTC 107/1988; 132/1995; 105/1990; 171/1990; 192/1999; 110/2000; 21/2000; 121/2002; 185/2002; 112/2000 y 69/2006, entre otras citadas), ya que al ser ciertos los antecedentes penales del Sr. Horoit, no podría haber concurrido animus iniuriandi, sino “informandi”, resultando ser la información veraz, y afectando a personas públicas, debiéndose haber primado el derecho a la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21 enero de 2008, la Sección Cuarta de la Sala Segunda del Tribunal Constitucional requirió los recurrentes para que aportaran copia del Auto inadmisión de los recursos de casación y extraordinario por infracción procesal, cumplimentándose dicho trámite el 30 enero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presentado por la representación de los Srs. Galvez y Arzola el 25 de febrero 2009, se aporta copia de la Sentencia núm. 62/2009, de 11 de febrero, de la Sala de lo Civil del Tribunal Supremo (recurso de casación núm. 1528-2003) en el que se estima y casa la Sentencia dictada por la Sección Sexta de la Audiencia Provincial de Málaga de 23 de enero de 2003, estimatoria del recurso de apelación interpuesto contra la Sentencia absolutoria de la Sra. Gálvez por intromisión ilegítima en el derecho al honor de don José Ávila Rojas y la Inmobiliaria-Constructora Ávila Rojas, S.A., dictada por el Juzgado de Primera Instancia núm. 2 de Málaga. En dicho escrito se alega que la recurrente en dicha casación, la Sra. Gálvez, se encontraba en idéntica situación y circunstancias a las descritas en el presente amparo (portavoz de Los Verdes de Andalucía por Málaga, situación de corrupción urbanística en Marbella, etc.), y, sin embargo, no se apreció que adoleciera en de “defectos de técnica casacional”, otorgándose la casación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la Sección Cuarta, de este Tribunal, de 23 de marzo de 2009 (notificada al recurrente el 7 de abril de 2009, y al Ministerio Fiscal el 29 de abril de 2009) acordó por unanimidad, inadmitir el recurso de amparo formulado por la representación de los Srs. Gálvez y Arzola, por vía del art. 50.1.a LOTC, en relación con los arts. 43.1 y 44.1.a LOTC, por incurrir en falta de agotamiento de los recursos en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8 abril de 2009, por la representación de los Srs. Gálvez y Arzola, se solicita aclaración de la providencia de la Sección Cuarta, de la Sala Segunda del Tribunal Constitucional de 23 de marzo de 2009, a tenor de que contra la providencia de inadmisión del incidente de nulidad actuaciones no cabía recurso alguno, existiendo además un recurso de amparo análogo (núm. 4263-2007) que sí ha resultado admitido a trámite por la Sala Segunda del Tribunal Constitucional, sin perjuicio de la existencia de otro recurso amparo (núm. 5699-2003) interpuesto por el Ayuntamiento en Marbella contra una Sentencia del Tribunal Superior de Justicia de Andalucía. </w:t>
      </w:r>
    </w:p>
    <w:p w:rsidRPr="00C21FFE" w:rsidR="00AD51A7" w:rsidRDefault="008777C4">
      <w:pPr>
        <w:rPr/>
      </w:pPr>
      <w:r w:rsidRPr="&lt;w:rPr xmlns:w=&quot;http://schemas.openxmlformats.org/wordprocessingml/2006/main&quot;&gt;&lt;w:lang w:val=&quot;es-ES_tradnl&quot; /&gt;&lt;/w:rPr&gt;">
        <w:rPr/>
        <w:t xml:space="preserve">En providencia de 16 de abril de 2009 (notificada el 24 de abril a la parte y el 22 de abril al Fiscal), la Sección Cuarta de la Sala Segunda del Tribunal Constitucional inadmite la solicitud aclaración, por no resultar procedente conforme a la Ley Orgánica 6/2007, de 24 de mayo, cabiendo exclusivamente contra las providencias de inadmisión recurso de súplica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5 de mayo de 2009, el Fiscal interpuso recurso de súplica contra la providencia de inadmisión de la Sección Cuarta, de este Tribunal de 23 de marzo 2009. Analizando la providencia de inadmisión “por concurrir en la causa de la falta de agotamiento de los recursos en vía judicial”, estima que sí que se agotó dicha vía judicial, mediante la interposición del referido incidente de nulidad, interesando que se revoque la referida providencia de inadmisión. </w:t>
      </w:r>
    </w:p>
    <w:p w:rsidRPr="00C21FFE" w:rsidR="00AD51A7" w:rsidRDefault="008777C4">
      <w:pPr>
        <w:rPr/>
      </w:pPr>
      <w:r w:rsidRPr="&lt;w:rPr xmlns:w=&quot;http://schemas.openxmlformats.org/wordprocessingml/2006/main&quot;&gt;&lt;w:lang w:val=&quot;es-ES_tradnl&quot; /&gt;&lt;/w:rPr&gt;">
        <w:rPr/>
        <w:t xml:space="preserve">En diligencia de ordenación de 6 de mayo de 2009, la Sección Cuarta del Tribunal, acordó dar traslado a la representación procesal de los Srs. Gálvez y Arzola, para que en el término de tres días efectuasen en las alegaciones que estimaren pertinentes. Mediante escrito presentado el 12 de mayo de 2009 por dicha representación procesal, se alega que ya anteriormente se solicitó la aclaración de la resolución de inadmisión, reiterando que el amparo núm. 4263-2007 ha sido admitido a trámite, y que en la Sentencia núm. 62/2009 de la Sala Primera del Tribunal Supremo, en un supuesto idéntico, otorgó la casación; por lo que entienden que lo procedente sería estimar el recurso de súplica, y admitida a trámite el recurso de amparo para conocer sobre el fondo del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decidir sobre el recurso de súplica interpuesto por el Ministerio Fiscal contra la providencia de la Sección Cuarta, de la Sala Segunda, del Tribunal Constitucional, de 23 de marzo de 2009, que acordó inadmitir el recurso de amparo formulado, por incurrir falta de agotamiento de los recursos en vía judicial; petición a la que se adhiere la representación procesal de los recurrentes.</w:t>
      </w:r>
    </w:p>
    <w:p w:rsidRPr="00C21FFE" w:rsidR="00AD51A7" w:rsidRDefault="008777C4">
      <w:pPr>
        <w:rPr/>
      </w:pPr>
      <w:r w:rsidRPr="&lt;w:rPr xmlns:w=&quot;http://schemas.openxmlformats.org/wordprocessingml/2006/main&quot;&gt;&lt;w:lang w:val=&quot;es-ES_tradnl&quot; /&gt;&lt;/w:rPr&gt;">
        <w:rPr/>
        <w:t xml:space="preserve">Señala el art. 50.3 LOTC (en redacción dada por la Ley Orgánica 6/2007, de 24 de mayo): “Las providencias de inadmisión, adoptadas por las Secciones o las Salas, especificarán el requisito incumplido y se notificarán al demandante y al Ministerio Fiscal. Dichas providencia solamente podrá ser recurridas en súplica por el Ministerio Fiscal en el plazo de tres días. Éste recurso se resolverá mediante auto, que no será susceptible de impugnación alguna”. Tenor que coincide plenamente con el art.  93. 2 LOTC: “Contra las providencias y los Autos que dicte el tribunal constitucional sólo procederá, en su caso, el recurso de súplica, que no tendrá efecto suspensivo. El recurso podrá interponerse en el plazo de tres días y se resolverá, previa audiencia común de las partes por igual tiempo, en los dos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reiterada y consolidada doctrina constitucional (por todas STC 8/2007, de 15 de enero, FJ 2) que la vía judicial previa sólo puede entenderse efectivamente agotada, y abierta la del proceso constitucional de amparo, si los recursos jurisdiccionales pertinentes y útiles se ha interpuesto en tiempo y forma, pues si se interponen sin cumplir los requisitos procesales establecidos por las normas que resulten de aplicación, el órgano jurisdiccional llamado a resolverlos no tendrá la posibilidad de entrar en su conocimiento y resolución, y no podrá por tanto reparar la lesión constitucional que, en su caso, pudiera ser después planteada en amparo; de modo que, el fracaso de los recursos idóneos para obtener la reparación del derecho constitucional supuestamente vulnerado puede equivaler a su no utilización, cuando tal fracaso sea imputable a la conducta procesal del recurrente (SSTC 11/1998, de 13 de enero, FJ 2; 92/1999, de 26 de mayo, FJ 2; AATC 114/1983, de 16 de marzo; 215/1984, de 4 de abril).</w:t>
      </w:r>
    </w:p>
    <w:p w:rsidRPr="00C21FFE" w:rsidR="00AD51A7" w:rsidRDefault="008777C4">
      <w:pPr>
        <w:rPr/>
      </w:pPr>
      <w:r w:rsidRPr="&lt;w:rPr xmlns:w=&quot;http://schemas.openxmlformats.org/wordprocessingml/2006/main&quot;&gt;&lt;w:lang w:val=&quot;es-ES_tradnl&quot; /&gt;&lt;/w:rPr&gt;">
        <w:rPr/>
        <w:t xml:space="preserve">A tenor de la precedente doctrina, y aún asumiendo la concisión que nos impone la nueva regulación de la inadmisión del amparo (ex. art. 50.3 LOTC en redacción de Ley Orgánica 6/2007, de 24 de mayo), resulta diáfano, que la interposición del recurso extraordinario por infracción procesal, y del recurso de casación, se efectuó de manera procesalmente defectuosa por la representación de los recurrentes, razón por la cual la Sala Primera del Tribunal Supremo dictó el Auto de 31 de octubre de 2006. De esta manera, se interpuso un recurso en forma manifiestamente improcedente, lo cual imposibilita —en términos del art. 44. 1 a) LOTC— estimar que se haya cumplido con el requisito del agotamiento de la vía judicial previa. En definitiva, la defectuosa preparación del recurso de casación y extraordinario por infracción procesal, que motivó su inadmisión, resulta achacable exclusivamente a la parte (por todas STC 6/2007, de 15 de enero, FJ 2), debiendo encuadrarse en alguno de los supuestos del art. 50 LOTC, conteniéndose en el num. 1 (por referencia al art. 44.1 a) LOTC), al no tener encaje en otros preceptos u ordinales (a.e.: falta de legitimación, art. 46 LOTC; defectos de la demanda, art. 49 LOTC; etc.), resultando por ello irrelevante el ulterior incidente de nulidad de actuaciones instado.  Por esta razón, a pesar de las quejas manifestadas por el Ministerio Fiscal (a las que se adhiere el recurrente) sobre la aparente integridad de la cadena de recursos previos al amparo, lo determinante para la inadmisión —y que ahora reiteramos— es que el recurso de casación y extraordinario por infracción procesal inadmitido (y que ahora se pretendía atacar en amparo), lo fue por defectos imputables exclusivamente al recurrente, sin que, por lo tanto, cubriera el expediente o trámite de dicho recurso jurisdiccional, a efectos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tampoco resultan determinantes, a los efectos de la presente súplica, la invocación efectuada por el recurrente, respecto del recurso de casación núm. 1528-2003 resuelto en Sentencia de la Sala Primera del Tribunal Supremo 62/2009, de 11 de febrero, ni del recurso de amparo núm. 4263-2007, al carecer ambas de la identidad subjetiva básica; sin perjuicio de que este ultimo amparo fuere desestimado en STC 185/2008, de 22 de diciembre.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interpuesto por el Fiscal contra la providencia de inadmisión, de la Sección Cuarta, de la Sala Segunda del Tribunal Constitucional, de 23 de marzo de 2009, con arreglo al art. 50.1 a) LOTC, confirmando íntegramente dicha</w:t>
      </w:r>
    </w:p>
    <w:p w:rsidRPr="" w:rsidR="00AD51A7" w:rsidRDefault="008777C4">
      <w:pPr>
        <w:rPr/>
      </w:pPr>
      <w:r w:rsidRPr="&lt;w:rPr xmlns:w=&quot;http://schemas.openxmlformats.org/wordprocessingml/2006/main&quot;&gt;&lt;w:szCs w:val=&quot;24&quot; /&gt;&lt;/w:rPr&gt;">
        <w:rPr/>
        <w:t xml:space="preserve">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