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18 de mayo de 2009, don José Félix Zabarte Jainaga expresó su deseo de interponer recurso de amparo contra el Auto de la Sala de lo Penal del Tribunal Supremo de 5 de marzo de 2009, que desestimó el recurso de casación formulado contra el Auto dictado por la Sección Segunda de la Sala de lo Penal de la Audiencia Nacional el 25 de enero de 2008, que fijó la fecha del licenciamiento definitivo del recurrente. Tras la designación del Procurador don Luis Gómez López-Linares, el 13 de octubre de 2009 se presentó el escrito de demanda, suscrito por el Letrado don Iñaki Goyoaga Llano.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25 de enero de 2008 la Sección Segunda de la Sala de lo Penal de la Audiencia Nacional dictó Auto aprobando el licenciamiento definitivo del penado para el día 24 de junio de 2015. </w:t>
      </w:r>
    </w:p>
    <w:p w:rsidRPr="00C21FFE" w:rsidR="00AD51A7" w:rsidRDefault="008777C4">
      <w:pPr>
        <w:rPr/>
      </w:pPr>
      <w:r w:rsidRPr="&lt;w:rPr xmlns:w=&quot;http://schemas.openxmlformats.org/wordprocessingml/2006/main&quot;&gt;&lt;w:lang w:val=&quot;es-ES_tradnl&quot; /&gt;&lt;/w:rPr&gt;">
        <w:rPr/>
        <w:t xml:space="preserve">c) Contra el anterior Auto interpuso recurso de casación, que fue desestimado por la Sala de lo Penal del Tribunal Supremo mediante Auto de 5 de marzo de 2009 que, del mismo modo que el Auto impugnado, se sustenta en el criterio iniciado por la mencionada Sala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el sentido de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marzo de 2011 la Sala Segunda de este Tribunal acordó la admisión a trámite de la demanda de amparo, así como, a tenor de lo establecido en el art. 51 LOTC, requerir atentamente a la Sala de lo Penal del Tribunal Supremo y a la Sección Segunda de la Sala de lo Penal de la Audiencia Nacional para que remitieran testimonio de las actuaciones y se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el 11 de abril de 2011,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el recurrente en amparo impugna el Auto de la Sección Segunda de la Sala de lo Penal de la Audiencia Nacional de 25 de enero de 2008, que fijó la fecha de su licenciamiento definitivo, así como el posterior Auto de 5 de marzo de 2009, que desestimó el recurso de casación interpuesto contra el mismo. De modo que las resoluciones judiciales recurridas en amparo no son aquellas que impusieron las penas privativas de libertad sino las que fijaron el licenciamiento definitivo siguiendo el criterio jurisprudencial establecido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11 de abril de 2008, según sostiene, o si, en cambio, no la extingue hasta el día 24 de junio de 2015 (como es el criterio de las resoluciones judiciales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José Félix Zabarte Jainaga en el recurso de amparo núm. 4627-2009.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