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20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Decano de Madrid el 16 de marzo de 2010, recibido en el Registro General de este Tribunal el 22 de marzo del mismo año, don Jokin Mirena Sancho Biurrun, representado por el Procurador de los Tribunales don Javier Cuevas Rivas y asistido por la Letrada doña Amaia Izko Aramendia, interpuso recurso de amparo contra el Auto dictado por la Sección Tercera de la Sala de lo Penal de la Audiencia Nacional el 2 de febrero de 2010, que desestima el recurso de súplica interpuesto contra la providencia de 23 de diciembre de 2009, dictada en la ejecutoria 30-1996.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 </w:t>
      </w:r>
    </w:p>
    <w:p w:rsidRPr="00C21FFE" w:rsidR="00AD51A7" w:rsidRDefault="008777C4">
      <w:pPr>
        <w:rPr/>
      </w:pPr>
      <w:r w:rsidRPr="&lt;w:rPr xmlns:w=&quot;http://schemas.openxmlformats.org/wordprocessingml/2006/main&quot;&gt;&lt;w:lang w:val=&quot;es-ES_tradnl&quot; /&gt;&lt;/w:rPr&gt;">
        <w:rPr/>
        <w:t xml:space="preserve">a) El demandante de amparo fue condenado a diversas penas privativas de libertad cuya suma supera los treinta años de duración, si bien, de conformidad con el art. 70 del Código penal de 1973, una vez operada la oportuna refundición de condenas, éste es el límite máximo de cumplimiento efectivo. </w:t>
      </w:r>
    </w:p>
    <w:p w:rsidRPr="00C21FFE" w:rsidR="00AD51A7" w:rsidRDefault="008777C4">
      <w:pPr>
        <w:rPr/>
      </w:pPr>
      <w:r w:rsidRPr="&lt;w:rPr xmlns:w=&quot;http://schemas.openxmlformats.org/wordprocessingml/2006/main&quot;&gt;&lt;w:lang w:val=&quot;es-ES_tradnl&quot; /&gt;&lt;/w:rPr&gt;">
        <w:rPr/>
        <w:t xml:space="preserve">b) El 23 de diciembre de 2009 la Sección Tercera de la Sala de lo Penal de la Audiencia Nacional dictó providencia aprobando el licenciamiento definitivo del penado para el día 16 de agosto de 2019, rechazando así la propuesta formulada por el Centro penitenciario en el que se encontraba cumpliendo la condena, que proponía su licenciamiento definitivo para el día 8 de diciembre de 2009. </w:t>
      </w:r>
    </w:p>
    <w:p w:rsidRPr="00C21FFE" w:rsidR="00AD51A7" w:rsidRDefault="008777C4">
      <w:pPr>
        <w:rPr/>
      </w:pPr>
      <w:r w:rsidRPr="&lt;w:rPr xmlns:w=&quot;http://schemas.openxmlformats.org/wordprocessingml/2006/main&quot;&gt;&lt;w:lang w:val=&quot;es-ES_tradnl&quot; /&gt;&lt;/w:rPr&gt;">
        <w:rPr/>
        <w:t xml:space="preserve">c) Contra la anterior providencia interpuso recurso de súplica, que fue desestimado por Auto de 2 de febrero de 2010 que, del mismo modo que la providencia impugnada, se sustenta en el criterio iniciado por la Sala de lo Penal del Tribunal Supremo con la Sentencia 197/2006, de 28 de febrero, con arreglo al cual el beneficio de redención de penas por el trabajo consagrado en el art. 100 del Código penal de 1973 ha de aplicarse, no a ese máximo de cumplimiento de treinta años, sino a cada una de las penas impuestas en las diversas causas.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impugnadas han vulnerado los derechos del recurrente a la igualdad (art. 14), a la libertad y seguridad (art. 17.1 CE), a la tutela judicial efectiva (art. 24.1 CE) y los principios de legalidad (art. 25.1 CE) y seguridad jurídica, en cuanto que las penas privativas de libertad han de estar orientadas hacia la reeducación y reinserción social (art. 25.2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de la Ley Orgánica del Tribunal Constitucional (LOTC), el recurrente solicita que se deje en suspenso la ejecución de la condena privativa de libertad, alegando que su cumplimiento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mayo de 2011 la Sala Segunda de este Tribunal acordó la admisión a trámite de la demanda de amparo, así como, a tenor de lo establecido en el art. 51 LOTC, requerir atentamente a la Sección Segunda de la Sala de lo Penal de la Audiencia Nacional para que remitiera testimonio de las actuaciones y emplazase a quienes fueron parte en el procedimiento, a excepción del demandante de amparo, para que pudieran comparecer en el presente proceso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medidas cautelares y, de conformidad con lo previsto en el art. 56.4 LOTC, conceder un plazo común de tres días al Ministerio Fiscal y al recurrente en amparo, para que alegaran lo que estimasen pertinente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31 de mayo de 2011, el Ministerio Fiscal pide que se deniegue la suspensión solicitada, en atención al criterio seguido por este Tribunal en el ATC 206/2010, de 30 de diciembre, que resolvió una petición dimanante de un recurso sustancialmente igual al presente.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entre otros muchos, en los AATC 462/2007, de 17 de diciembre, 116/2008, de 28 de abril, y 25/2009, de 26 de enero,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FJ 3; 9/2003,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tales resoluciones, ya que en dichos supuestos deben también ponderarse otras circunstancias relevantes,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ha quedado expuesto, el recurrente en amparo impugna la providencia de la Sección Tercera de la Sala de lo Penal de la Audiencia Nacional de 23 de diciembre de 2009 -que rechazó el licenciamiento definitivo propuesto por el Centro penitenciario- así como el posterior Auto de 2 de febrero de 2010, que desestimó el recurso de súplica interpuesto contra la indicada providencia. De modo que las resoluciones judiciales recurridas en amparo no son aquellas que impusieron las penas privativas de libertad sino las que rechazaron aprobar la citada propuesta de licenciamiento definitivo; y ello en aplicación del criterio jurisprudencial acogido por la Sala de lo Penal del Tribunal Supremo a partir de su Sentencia 197/2006, de 28 de febrero.</w:t>
      </w:r>
    </w:p>
    <w:p w:rsidRPr="00C21FFE" w:rsidR="00AD51A7" w:rsidRDefault="008777C4">
      <w:pPr>
        <w:rPr/>
      </w:pPr>
      <w:r w:rsidRPr="&lt;w:rPr xmlns:w=&quot;http://schemas.openxmlformats.org/wordprocessingml/2006/main&quot;&gt;&lt;w:lang w:val=&quot;es-ES_tradnl&quot; /&gt;&lt;/w:rPr&gt;">
        <w:rPr/>
        <w:t xml:space="preserve">Por tanto, lo que el recurrente pretende es que este Tribunal acuerde cautelarmente su inmediata puesta en libertad en tanto se resuelva el recurso de amparo y, en consecuencia, se pronuncie sobre si el recurrente habría cumplido ya su condena el día 8 de diciembre de 2009 (según sostiene de consuno con la propuesta de licenciamiento inicialmente formulada por el Centro penitenciario) o si, en cambio, no la extingue hasta el día 16 de agosto de 2019 (como es el criterio de las resoluciones de la Audiencia Nacional impugnadas), pues lo contrario, añade el recurrente, le produciría un perjuicio irreparable, en el caso de otorgarse finalmente el amparo.</w:t>
      </w:r>
    </w:p>
    <w:p w:rsidRPr="00C21FFE" w:rsidR="00AD51A7" w:rsidRDefault="008777C4">
      <w:pPr>
        <w:rPr/>
      </w:pPr>
      <w:r w:rsidRPr="&lt;w:rPr xmlns:w=&quot;http://schemas.openxmlformats.org/wordprocessingml/2006/main&quot;&gt;&lt;w:lang w:val=&quot;es-ES_tradnl&quot; /&gt;&lt;/w:rPr&gt;">
        <w:rPr/>
        <w:t xml:space="preserve">Como ya dijimos en el ATC 214/2007, de 16 de abril, dictado en un caso similar, “ponderando los intereses en juego en los términos anteriormente expuestos, este Tribunal entiende que ha de prevalecer el interés general en mantener la eficacia de las resoluciones judiciales, a la vista de la gravedad de los hechos por los que el recurrente se encuentra cumpliendo condena y de las penas impuestas, como pone de relieve el Ministerio Fiscal, así como de la lejanía del tiempo de cumplimiento definitivo de la misma en la apreciación llevada a cabo por las resoluciones impugnadas (en este caso en el año 2019), lo que determinaría que la pérdida de la finalidad del amparo, caso de otorgarse el mismo, sería sólo parcial y puede atemperarse otorgando al recurso una tramitación preferente”.</w:t>
      </w:r>
    </w:p>
    <w:p w:rsidRPr="00C21FFE" w:rsidR="00AD51A7" w:rsidRDefault="008777C4">
      <w:pPr>
        <w:rPr/>
      </w:pPr>
      <w:r w:rsidRPr="&lt;w:rPr xmlns:w=&quot;http://schemas.openxmlformats.org/wordprocessingml/2006/main&quot;&gt;&lt;w:lang w:val=&quot;es-ES_tradnl&quot; /&gt;&lt;/w:rPr&gt;">
        <w:rPr/>
        <w:t xml:space="preserve">Ello conduce a la denegación de la suspensión solicitada, sin perjuicio de que -en la línea de lo que constituye la práctica habitual en aquellos casos en los que resulta directamente afectado el derecho a la libertad-, a la vista de los motivos de amparo y de los derechos fundamentales en juego, este Tribunal proceda a la tramitación y resolución urgente del recurso (AATC 419/1997, 267/1998, 369/2005, 214/2007).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solicitada por don Jokin Mirena Sancho Biurrun en el recurso de amparo núm. 2363-2010.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