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octubre de 2011, la Procuradora de los Tribunales doña Valentina López Valero, en nombre y representación de la Coalición Anticapitalista por la provincia de Pontevedra, y bajo la dirección del Letrado don José Luis González del Moral, interpuso demanda de amparo electoral contra la Sentencia del Juzgado de lo Contencioso-Administrativo núm. 1 de Pontevedra de 28 de octubre de 2011, dictada en el proceso contencioso-electoral núm. 434-2011, por la que se desestima el recurso interpuesto contra el acuerdo de la Junta Electoral Provincial de Pontevedra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Coalición Anticapitalista por la provincia de Pontevedra, interpuso recurso contencioso-electoral ex art. 49 de la Ley Orgánica del régimen electoral general (LOREG) contra el acuerdo de la Junta Electoral Provincial de Pontevedra de 24 de octubre de 2011 (“Boletín Oficial del Estado” de 25 de octubre) por el que se deniega la proclamación de las candidaturas de dicha coalición al Congreso de los Diputados y el Senado por la circunscripción de Pontevedra en las elecciones generales convocadas por Real Decreto 1329/2011, de 26 de septiembre, al no haber cumplido esta coalición, que no obtuvo representación parlamentaria en las anteriores elecciones generales, el requisito establecido en el art. 169.3 LOREG (en la redacción dada por la Ley Orgánica 2/2011, de 28 de enero), de aportar las firmas de al menos el 0,1 por 100 de los electores inscritos en el censo electoral de dicha circunscripción.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argumentaba que el acuerdo de no proclamación impugnado trae causa de la aplicación del requisito establecido por el art. 169.3 LOREG, precepto que la coalición recurrente considera lesivo de los derechos reconocidos por el art. 23 CE y del pluralismo político (art. 1.1 CE) que expresan los partidos políticos (art. 6 CE), en relación con el derecho de asociación (art. 22 CE) y el mandato a los poderes públicos de remover los obstáculos que impidan la participación política (art. 9.2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contencioso-electoral fue desestimado por Sentencia de 28 de octubre de 2011 del Juzgado de lo Contencioso-Administrativo núm. 1 de Pontevedra, en la que se razona que la coalición demandante pretende plantear un recurso indirecto de inconstitucionalidad contra el art. 169.3 LOREG, pretensión que resulta por completo ajena al objeto del recurso contencioso-electoral.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coalición recurrente aduce en su demanda de amparo, en primer lugar, que las resoluciones impugnadas han vulnerado su derecho de participación política y de acceso en condiciones de igualdad a las funciones y cargos públicos (art. 23.2 CE), en relación con el valor superior del pluralismo político (art. 1.1 CE) que los partidos políticos expresan (art. 6 CE), y con el derecho de asociación (art. 22 CE) y el mandato a los poderes públicos de remover los obstáculos que impidan la participación política (art. 9.2 CE). A esos efectos, la coalición recurrente argumenta, en síntesis, que el requisito de presentación de avales del art. 169.3 LOREG atenta contra la soberanía popular y destruye la esencia democrática y el pluralismo político, al establecer un control preventivo de la voluntad popular que impide que puedan concurrir a un proceso electoral opciones ideológicas minoritarias. Además, la norma introduce un distinto tratamiento a los partidos desproporcionado carente de justificación, ya que el referido requisito no se exige a los partidos con representación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coalición recurrente argumenta que el requisito del art. 169.3 LOREG atenta contra el derecho a la intimidad (art. 18.1 CE) de los avalistas, pues para avalar una candidatura se han de facilitar a la Administración electoral datos personales (nombre y apellidos, documento nacional de identidad y circunscripción electoral en la que se esté censado), provocando soterradamente que quienes deciden apoyar la presentación de una candidatura tengan que renunciar a la protección de sus datos.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 la coalición recurrente por no haber aportado el porcentaje mínimo de avales exigido por el art. 169.3 de la Ley Orgánica del régimen electoral general (LOREG), en la redacción dada por la Ley Orgánica 2/2011, de 28 de enero, ha vulnerado el derecho de los integrantes de su candidatura a acceder en condiciones de igualdad a las funciones y cargos públicos (art. 23.2 CE) y el derecho a la intimidad (art. 18.1 CE) de los avalistas.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para una adecuada delimitación de este recurso de amparo debemos señalar que, al margen de que los arts. 1.1, 6 y 9.2 CE no enuncian derechos susceptibles de amparo constitucional, la pretendida lesión de dichos preceptos constitucionales puede ser reconducida, en los términos en que han sido alegados en la demanda de amparo, al parámetro de control dispensado por la invocación del derecho fundamental que garantiza el art. 23.2 CE. A la misma conclusión debe llegarse en relación con la invocación genérica de la pretendida lesión del derecho de asociación (art. 22 CE), dado que esta queja carece de contenido autónomo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Sentencia que confirma dicho acuerdo, lo que se cuestiona es si el requisito de aportación de avales impuesto por el art. 169.3 LOREG para la presentación de candidaturas por partidos políticos, federaciones o coaliciones que no hubieran obtenido representación parlamentaria en la anterior convocatoria electoral resulta lesivo o no del derecho de acceso a los cargos públicos en condiciones de igualdad y del derecho a la intimidad, lo que constituye el verdadero objeto de este recurso de amparo electoral, con las limitaciones propias que impone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precisa en la Sentencia que, con independencia de que la exigencia del art. 169.3 LOREG no esté expresamente prevista en la Constitución, su eventual contradicción con el art. 23.2 CE dependerá de que se hayan sobrepasado las limitaciones impuestas al legislador respecto de su carácter no discriminatorio o contrario al principio de representación política, lo que sólo puede concluirse de su contraste con el texto constitucional, sin que el hecho de que el legislador no haya explicado de manera suficiente las razones de su decisión legislativa convierta dicha exigencia en arbitraria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como requisito limitativo a la presentación de candidaturas, es si tiene o no un fundamento constitucional que la justifique. A esos efectos, se recuerda que la exigencia de avales no es inédita en los ordenamientos de países de nuestro entorno, ni tampoco en nuestro propio ordenamiento, que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elecciones al Congreso de los Diputados y al Senado en el mismo art. 169.3 LOREG un porcentaje de firmas del 1 por 100, exigencia que el Tribunal Europeo de Derechos Humanos, en su decisión de 9 de mayo de 1994, caso J.A. Serqueda c. España, no consideró contraria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lo expuesto, en la citada STC 163/2011, de 2 de noviembre, este Tribunal ha concluido que la necesidad de obtención de avales establecida en el art. 169.3 LOREG no vulnera el derecho de los integrantes de su candidatura al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añade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razonado asimismo en la referida Sentencia que la diferencia de trato que resulta de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este Tribunal ha descartado en la misma Sentencia que el requisito legal de aportación de avales en el porcentaje, al menos, del 0,1 por 100 de los electores inscritos en la circunscripción electoral por la que el partido pretenda su elección pueda ser considerado desproporcionado, puesto en relación tanto con la exigencia del 1 por 100 de avales exigidos a las agrupaciones electorales para presentar candidaturas en las elecciones al Congreso de los Diputados y al Senado (art. 169.3 LOREG) y en las elecciones municipales (art. 187.3 LOREG), como con la exigencia a los partidos políticos, coaliciones, federaciones y agrupaciones de electores de aportar 15.000 firmas para la presentación de candidaturas en las elecciones al Parlamento Europeo (art. 214 LOREG). Del mismo modo se descarta que concurra desproporción alguna en la exigencia de avales del art. 169.3 LOREG por lo que se refiere al plazo concedido por las juntas electorales, de conformidad con lo dispuesto en el apartado quinto de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mencionada Sentencia descarta que suponga lesión del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pretendida lesión del derecho a la intimidad (art. 18.1 CE) de los avalistas de la candidatura, debemos señalar que en el fundamento jurídico 8 de la mencionada STC 163/2011, de 2 de noviembre, este Tribunal ha precisado que quien voluntariamente decide apoyar con su firma la presentación de una candidatura no está siendo obligado a declarar sobre su ideología (art. 16.2 CE). Del mismo modo, también se descarta en la Sentencia que los datos personales que se han de facilitar a la Administración electoral para avalar una candidatura (nombre y apellidos, documento nacional de identidad y circunscripción electoral en la que se esté censado) afecten a la intimidad de los avalistas o a su derecho a no declarar sobre su ideología.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se pone de manifiesto en la Sentencia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así se señala (fundamento jurídico 8) que en el caso de que los candidatos sean, a su vez, avalistas de su propia candidatura, la libre decisión de concurrir a unas elecciones por una determinada candidatura supone la voluntaria manifestación de la ideología política, por lo que el aval de los propios candidatos no revela ningún dato secreto ni merecedor de reserva. La publicidad de la ideología política de los candidatos es consustancial al proceso electoral y al ejercicio del derecho de participación política (art. 23.1 CE), que implica, en general, la renuncia a mantener ese aspecto de la vida personal alejada del público conocimiento, debiendo tenerse en cuenta en este sentido que la legislación electoral prescribe la publicación oficial de las candidaturas presentadas y proclamadas en las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electores que avalan con su firma la presentación de una candidatura sin formar parte de la misma, se advierte en la Sentencia (fundamento jurídico 8) que, si bien la situación de los avalistas no es la misma que la de los candidatos, toda vez que las firmas de los avalistas no son objeto de publicación en el procedimiento electoral, no es menos cierto que quien ejercita el derecho de participación política (art. 23.1 CE), del que también forma parte el avalar con la firma la presentación de una candidatura electoral en los términos del art. 169.3 LOREG, no puede aducir la lesión de su derecho a no declarar sobre la propia ideología (art. 16.2 CE), ni tampoco de su derecho fundamental a la intimidad personal y, en su caso, de la garantía frente al uso de la informática (arts. 18.1 y 4 CE), por el mero hecho de que la prestación del aval a una candidatura haga necesario facilitar a la Administración electoral los datos personales que permiten verificar que la firma corresponde al elector que afirma prestar su aval. Se trata, en suma, de datos de carácter personal prestados voluntariamente por el interesado para el cumplimiento de una finalidad constitucionalmente legítima en el marco del procedimiento electoral, por lo que su recogida y tratamiento a estos efectos por la Administración electoral en el ejercicio de las competencias que legalmente le están atribuidas, no supone en modo alguno vulneración de la intimidad de los avalistas ni del derecho de estos a no declarar sobre su ideología o creencias.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18.1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