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159</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21 de noviembre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octubre de 2010, don Javier Pérez Castaño Rivas, Procurador de los Tribunales, en nombre y representación de don Roberto García Martín y doña María del Prado Iñigo Gil, interpuso recurso de amparo contra: a) la resolución de 29 de octubre de 2008 de la delegación de Cáceres de la Consejería de Educación de la Junta de Extremadura, que desestima el recurso de alzada deducido contra la resolución de la comisión de escolarización de Navalmoral de la Mata, por la que se adjudica plaza en el curso primero de educación infantil a su hijo en el Colegio Público El Pozón de Navalmoral de la Mata; b) la Sentencia núm. 152 de 21 de mayo de 2010 de la Sala de lo Contencioso-Administrativo del Tribunal Superior de Justicia de Extremadura, por la que, primero, se estima el recurso de apelación interpuesto por la Junta de Extremadura contra la Sentencia del Juzgado de lo Contencioso-Administrativo núm. 2 de Cáceres, que estimando el recurso contencioso-administrativo interpuesto, anuló la referida resolución de 29 de octubre de 2008 de la Delegación de Cáceres de la Consejería de Educación de la Junta de Extremadura y reconoció el derecho de los recurrentes a que la escolarización de su hijo lo fuese en el colegio concertado Nuestra Señora de Guadalupe, y segundo, se desestima el recurso contencioso-administrativo interpuesto por los aquí recurrentes contra la misma resolución administrativa; y c) el Auto de 21 de septiembre de 2010 de la misma Sala por el que se desestima el incidente de nulidad de actuaciones plantado.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presentado en el Registro General de este Tribunal el día 23 de septiembre de 2011, la representación procesal de los recurrentes adjuntó la resolución de la delegación de Cáceres de la Consejería de Educación de la Junta de Extremadura de 14 de septiembre de 2011 por la que, en atención a las circunstancias concurrentes en los actores desde el proceso de escolarización para el curso 2008-2009, se “estima la petición de los padres para que sus hijos puedan ser admitidos y matriculados en el CC ‘Nª Sª de Guadalupe’ de Navalmoral de la Mata (Cáceres), ajustándose a la siguiente ampliación de ratio: 1º de EI (4) y 1º de EP (6)”, considerando los actores que con esta resolución la Administración viene a satisfacer sus pretensiones, por lo que solicitan el dictado de un Auto de terminación y archivo del presente proceso sin imposición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diligencia de ordenación de 27 de septiembre de 2011 se acordó dar vista del anterior escrito al Ministerio Fiscal, por haber sobrevenido la carencia del objeto del recurso de amparo, para que en el plazo de tres días alegase lo que estimase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 de 14 de octubre de 2011 tuvo entrada en el Registro General de este Tribunal escrito del Ministerio Fiscal por el que manifiesta que, a la vista del reconocimiento por la Administración y de la subsiguiente pérdida de objeto del proceso, no se opone a que se tenga por desistido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reiterada doctrina de este Tribunal, la desaparición sobrevenida del objeto es una de las formas de terminación de los distintos procesos constitucionales, entre ellos el recurso de amparo, puesto que circunstancias acaecidas con posterioridad a la presentación de la demanda pueden hacer innecesario un pronunciamiento del Tribunal Constitucional (STC 305/2000, de 11 de diciembre, FJ 9; y AATC 43/1985, de 23 de enero; 189/1997, de 3 de junio; 139/1998, de 16 de junio; 243/2007, de 21 de mayo; 285/2008, de 22 de septiembre; y 287/2008, de 22 de septiembre por todos), debiendo ser distinguida dicha desaparición de la propia inexistencia originaria del objeto (STC 305/2000, de 11 de diciembre,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hemos afirmado en el ATC 439/2007, de 26 de noviembre, “aunque es cierto que nuestra Ley Orgánica no contempla la satisfacción extraprocesal de la pretensión como una causa extraordinaria de terminación del proceso de amparo, no resulta menos cierto, sin embargo, que, constituyendo el recurso de amparo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cuando dicha pretensión se ha visto satisfecha extraprocesalmente, no cabe sino concluir, en principio, que el amparo impetrado carece desde ese momento de objeto sobre el que deba pronunciarse este Tribunal (por todos, ATC 17/2000, de 17 de enero, FJ único; y ATC 156/2003, de 19 de mayo, FJ 5). Y ello, naturalmente, tanto en aquellos supuestos en los que la denunciada lesión de los derechos constitucionales hubiese arrancado de un acto de la Administración pública como también en aquellas otras ocasiones en que las eventuales lesiones de los derechos fundamentales tuviesen su causa directa e inmediata en decisiones de los órganos del Poder Judicial (STC 203/2000, de 24 de julio, FJ 2, y las resoluciones allí citadas).”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2. Del examen de la documentación obrante en autos se desprende que la resolución de 29 de octubre de de 2008 de la delegación de Cáceres de la Consejería de Educación de la Junta de Extremadura, de la que traen su causa las resoluciones judiciales también impugnadas, ha quedado sin efecto, ya que la resolución de la delegación de Cáceres de la Consejería de Educación de la Junta de Extremadura de 14 de septiembre de 2011, en atención a las circunstancias concurrentes en los actores desde el proceso de escolarización para el curso 2008-2009, viene a dar satisfacción a la petición de los recurrentes al generar las condiciones para que su hijo pueda ser admitido y matriculado en el Colegio Concertado “Nuestra Señora de Guadalupe” de Navalmoral de la Mata. Por ello procede, de conformidad con lo dispuesto en los arts. 80 y 86.1 de la Ley Orgánica del Tribunal Constitucional (LOTC), en relación con el art. 22 de la Ley de enjuiciamiento civil, declarar la pérdida de objeto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conformidad con lo establecido en el art. 95.2 LOTC, y no apreciándose temeridad ni mala fe, ni el mantenimiento de posiciones infundadas, no concurre motivo alguno para hacer un especial pronunciamiento en costas.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pérdida de objeto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