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diciembre de 2006 tuvo entrada en el Registro General de este Tribunal escrito de la Sala de 1o Contencioso-Disciplinario del Tribunal Militar Territorial Segundo, con sede en Sevilla, al que se acompaña, junto con el testimonio del recurso contencioso-disciplinario ordinario núm. 2-2006, que se tramita ante dicha Sala, el Auto de 10 de noviembre de 2006 por el que se acuerda plantear cuestión de inconstitucionalidad respecto de los arts. 468, apartado b), y 453.2, en el inciso “por falta grave”, de la Ley Orgánica 2/1989, de 13 de abril, procesal militar, por posible vulneración de los arts. 24.2, (sic)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2-2006) interpuesto el 31 de marzo de 2006 por el comandante del cuerpo de especialistas del Ejército de Tierra, don Jesús Torres Cobo, contra la desestimación del recurso de alzada interpuesto contra la sanción de cuatro días de arresto impuesta por la comisión de una falta leve tipificada en el artículo 7.29 de la Ley Orgánica 8/1998, de 2 de diciembre, de régimen disciplinario de las Fuerzas Armadas. Una vez concluso el procedimiento, y antes de dictar Sentencia, la Sala de lo Contencioso-Disciplinario del Tribunal Militar Territorial Segundo, mediante providencia de 28 de julio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Fiscal como el Abogado del Estado manifestaron su oposición al planteamiento de la cuestión, mientras que el recurrente lo consideró necesario solicitando que se extendiera al artículo 77.3 de la Ley Orgánica 8/1998, de 2 de diciembre, de disciplina de las Fuerzas Armadas, cuando establece que contra las sanciones por falta leve solo podrá interponerse el recurso contencioso-disciplinario militar preferente y sumario. La Sala dictó Auto con fecha 10 de noviembre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10 de noviembre de 2006, la Sala de lo Contencioso-Disciplinario del Tribunal Militar Territorial Segundo fundamenta el planteamiento de la cuestión de inconstitucionalidad, tras exponer las diversas soluciones que podrían darse al problema planteado por el intento de interponer un recurso contencioso-disciplinar ordinario contra un acto sancionador por falta leve y escoger de todas ellas el planteamiento de la cuestión de inconstitucionalidad, en los argumentos de la STC 202/2002, de 28 de octubre, en virtud de los cuales, ante un caso idéntico, el Tribunal Constitucional acordó plantear cuestión de inconstitucionalidad respecto de los preceptos discutidos, ante las serias dudas de constitucionalidad surgidas en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órgano judicial promotor de la cuestión que se le suscitan idénticas dudas sobre la constitucionalidad de los arts. 468 b) y 453.2 de la Ley Orgánica procesal militar respecto al caso sometido a su juicio, entendiendo que pudieran vulnerar los arts. 24.1, 106, 117.5 CE. Considera que la restricción del control judicial de la legalidad ordinaria que se impone, lejos de ser mínima y concretada en un sector reducido del ordenamiento, está concebida en términos extraordinariamente latos, tal y como puede colegirse de la práctica jurisprudencial sobre la fijación del ámbito de lo debatible en el proceso especial y sumario, de ahí la vulneración del derecho a la tutela judicial efectiva sin indefensión y, en consecuencia, del artículo 106.1 CE que atribuye a los Tribunales el control de legalidad de la actuación administrativa, sin que el mantenimiento de la disciplina de los ejércitos sea un motivo constitucionalmente admisible para cerrar toda posibilidad de impugnación, por motivos de legalidad ordinaria, de una sanción impuesta por falta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enero de 2007, la Sección Primera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del escrito presentado en este Tribunal el 30 de enero de 2007, el Abogado del Estado, en la representación que ostenta, se personó en la presente cuestión de inconstitucionalidad y formuló sus alegaciones en las que, una vez manifestado que el Tribunal debía haber continuado la tramitación del procedimiento ordinario o, en su caso, haber seguido el trámite preferente y sumario por cuanto, aparentemente, los motivos de fondo del recurso de alzada tenían cabida en los derechos fundamentales, termina por remitirse a las realizadas en la cuestión de inconstitucionalidad elevada al Pleno por la Sala Segunda de este Tribunal (núm. 6188-2002), y en las posteriores cuestiones núms. 4204-2003 y 5219-2003.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recibido el 31 de enero de 2007, el Presidente del Senado comunicó a este Tribunal la personación de la citada Cámara y el ofrecimiento de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31 de enero de 2007, el Fiscal General del Estado presentó alegaciones remitiéndose a las por él presentadas en las cuestiones de inconstitucionalidad núm. 6188-2002, 4204-2003, 1096-2006, 8783-2006, 9156-2006, 10204-2006 y 10205-2006.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7 de febrero de 2007, el Presidente del Congreso comunicó la personación de esta Cámara ofreciendo su colaboración a los efectos del art. 88.1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1o Contencioso-Disciplinario del Tribunal Militar Territorial Segundo con sede en Sevilla ha planteado cuestión de inconstitucionalidad en relación con los arts. 468, apartado b), y 453.2,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es preciso aclarar que, pese a que en la parte dispositiva del Auto de planteamiento de la cuestión de inconstitucionalidad fechado el 11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24.1 CE. Así mismo, el órgano jurisdiccional a quo en este caso plantea su duda sobre inconstitucionalidad del art. 453, párrafo segundo, en el inciso “por falta grave”, debiendo entenderse que se refiere al art. 453.2, en el inciso “por falta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11075-2006,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