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73</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7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julio de 2009, el Procurador de los Tribunales don José Javier Cuevas Rivas, en nombre y representación de don Ignacio Mendiburu Iturrain, y bajo la dirección de la Letrada doña Onintza Ostelaza Arruabarrena, interpuso recurso de amparo contra el Auto de la Sección Primera de la Sala de lo Penal de la Audiencia Nacional de 24 de junio de 2009, dictado en la ejecutoria núm. 58-1984, por el que se desestima el recurso de súplica interpuesto contra el Auto de 26 de mayo de 2009, en la que se aprueba fecha para licenciamiento definitivo.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A esos efectos, se expone que en dichas resoluciones, al haberse aplicado la doctrina establecida en la Sentencia de la Sala Segunda del Tribunal Supremo núm. 197/2006, de 28 de febrero, se ha retrasado el licenciamiento definitivo en varios años, por lo que su ejecución ocasionaría un perjuicio al recurrente que haría al amparo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en este Tribunal el 20 de abril de 2012, presentó alegaciones en las que, enunciando la jurisprudencia de este Tribunal sobre el particular, interesó que se denegara la suspensión solicitada, argumentando, por un lado, la gravedad de las penas impuestas cuya fecha de cumplimiento es el objeto del recurso de amparo y la lejanía del tiempo de cumplimiento definitivo fijado en las resoluciones impugnadas y, por otro, la circunstancia de que la suspensión determinaría la puesta en libertad del recurrente lo que supondría, al menos parcialmente, un otorgamiento anticipado.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registrado en este Tribunal el 16 de abril de 2012, presentó alegaciones insistiendo en la necesidad de la suspensión de las resoluciones impugnadas por los graves perjuicios que supone el mantenimiento en prisión, toda vez que se ha acordado nueva fecha de licenciamiento definitivo para el 10 de junio de 2014, en vez de la anteriormente fijada de 13 de junio de 2009.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56.1 LOTC dispone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que no se produzca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ya ha reiterado que en casos como el presente en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en libertad del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ATC 206/2010, de 30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y tal como señala el Ministerio Fiscal, la solicitud de la suspensión debe ser rechazada, ya que se trata del cumplimiento de penas graves cuyo límite se ha establecido en treinta años y su concesión supondría la puesta en libertad del recurrente y, con ello, un parcial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7189-2009.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