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78</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7 de mayo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13 de diciembre de 2010, el Procurador de los Tribunales don José Javier Cuevas Rivas, en nombre y representación de don Ignacio Erro Zazu, y bajo la dirección de la Letrada doña Amaia Izko Aramendía, interpuso recurso de amparo contra el Auto de la Sala Segunda del Tribunal Supremo de 7 de octubre de 2010, por el que se inadmite el recurso de casación núm. 10646-2010 interpuesto contra el Auto de la Sala de lo Penal de la Audiencia Nacional de 6 de mayo de 2010, dictado en la ejecutoria núm. 23-1991, en el que se aprueba fecha para licenciamiento definitivo.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ejecución de las resoluciones judiciales impugnadas. A esos efectos, se expone que en dichas resoluciones, al haberse aplicado la doctrina establecida en la Sentencia de la Sala Segunda del Tribunal Supremo núm. 197/2006, de 28 de febrero, se ha retrasado el licenciamiento definitivo en siete años, por lo que su ejecución ocasionaría un perjuicio al recurrente que haría al amparo perder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Primera de este Tribunal, por sendas providencias de 26 de marzo de 2012,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en este Tribunal el 19 de abril de 2012, presentó alegaciones en las que, enunciando la jurisprudencia de este Tribunal sobre el particular, interesó que se denegara la suspensión solicitada, argumentando, por un lado, la gravedad de las penas impuestas cuya fecha de cumplimiento es el objeto del recurso de amparo y la lejanía del tiempo de cumplimiento definitivo fijado en las resoluciones impugnadas y, por otro, la circunstancia de que la suspensión determinaría la puesta en libertad del recurrente lo que supondría, al menos parcialmente, un otorgamiento anticipado.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por escrito registrado en este Tribunal el 16 de abril de 2012, presentó alegaciones insistiendo en la necesidad de la suspensión de las resoluciones impugnadas por los graves perjuicios que supone el mantenimiento en prisión, toda vez que se ha acordado nueva fecha de licenciamiento definitivo para el 20 de julio de 2017, en vez de la anteriormente fijada de 20 de febrero de 2011.</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56.1 de la Ley Orgánica del Tribunal Constitucional dispone que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que no se produzca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ya ha reiterado que en casos como el presente en que se solicita la suspensión de la ejecución de las resoluciones judiciales por las que se aprueba la fecha de licenciamiento definitivo en aplicación de la doctrina establecida en la Sentencia de la Sala Segunda del Tribunal Supremo núm. 197/2006, de 28 de febrero, no resulta procedente la puesta cautelar en libertad del recurrente por implicar una perturbación grave de los intereses generales, y, en concreto, del legítimo interés público en el cumplimiento de las penas, en atención a la gravedad de las penas que se están ejecutando. A ello se añade la circunstancia de que la puesta en libertad del recurrente supondría, al menos parcialmente, un otorgamiento anticipado del amparo que se solicita, lo que desnaturalizaría la naturaleza cautelar de la medida (por todos, ATC 206/2010, de 30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y tal como señala el Ministerio Fiscal, la solicitud de la suspensión debe ser rechazada, ya que se trata del cumplimiento de penas graves cuyo límite se ha establecido en treinta años y su concesión supondría la puesta en libertad del recurrente y, con ello, un parcial otorgamiento anticipado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en el recurso de amparo núm. 8612-2010.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