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noviembre de 2009, el Procurador de los Tribunales don Javier Cuevas Rivas, en nombre y representación de doña Inés del Río Prada, y bajo la dirección de la Letrada doña Amaia Izko Aramendia, interpuso recurso de amparo contra el Auto de la Sección Primera de la Sala de lo Penal de la Audiencia Nacional de 13 de octubre de 2009, dictado en la ejecutoria núm. 36-1985, por el que se desestima el recurso de súplica interpuesto contra la providencia de 30 de julio de 2009, por la que se acuerda fijar como fecha de licenciamiento definitivo de la recurrente el día 27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 la recurrente habría tenido lugar el día 2 de julio de 2008, conforme propuso el centro penitenciario en el que cumple condena, por lo que las resoluciones impugnadas, al rechazar la propuesta del centro y fijar el día 27 de junio de 2017 como fecha de licenciamiento definitivo, conforme a la doctrina de la citada Sentencia, han retrasado su puesta en libertad nueve años, con lo que la ejecución de las resoluciones impugnadas ocasionaría un perjuicio a la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26 de abril de 2012, presentó alegaciones en las que, con cita de la doctrina de este Tribunal sobre el particular (AATC 25/2012 y 27/2012), interesó que se denegara la suspensión solicitada, dada la circunstancia de que la suspensión determinaría la puesta en libertad de la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por escrito registrado en este Tribunal el 16 de abril de 2012, presentó alegaciones reiterando su solicitud de suspensión de las resoluciones impugnadas por los graves perjuicios que supone el cumplimiento de la pena privativa de libertad cuestionada, a lo que añade que la suspensión solicitada no supone perturbación grave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personado en las actuaciones principales la Procuradora doña María Esperanza Álvaro Mateo, en representación de la Asociación Víctimas del Terrorismo, por diligencia de ordenación de 3 de mayo de 2012 se acordó conceder a esta parte el plazo de tres días para que formulase alegaciones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Asociación Víctimas del Terrorismo, por escrito registrado el 9 de mayo de 2012, presentó alegaciones en las que se opuso a la suspensión interesada porque, de accederse a la petición, se estaría anticipando lo solicitado en la demanda de amparo, y remitiéndose a los argumentos contenidos en el ATC 17/2008, de 21 de enero.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 la recurrente supondría, al menos parcialmente, un otorgamiento anticipado del amparo que se solicita, lo que desnaturalizaría la naturaleza cautelar de la medida (por todos, AATC 206/2010, de 30 de diciembre, 3/2011, de 14 de febrero, y 25/2012,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solicitud de suspensión debe ser rechazada, ya que se trata del cumplimiento de penas graves cuyo límite se ha establecido en treinta años y su concesión supondría la puesta en libertad de la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9479-2009.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