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Luis Ignacio Ortega Álvarez, don Francisco Pérez de los Cobos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7963-2010, promovido por don Fermín Vioque Ruiz, representado por el Procurador de los Tribunales don Pedro Antonio González Sánchez y asistido por el Letrado don Juan Ángel Torres Castro, contra la Sentencia de la Audiencia Provincial de Córdoba (Sección Primera) de 13 de mayo de 2010, dictada en el rollo de apelación 272-2010, por la que se revoca el pronunciamiento absolutorio dictado en Sentencia del Juzgado de lo Penal núm. 1 de Córdoba de 17 de julio de 2009, dictada en el procedimiento abreviado núm. 38-2005, y se condena al recurrente como autor de un delito contra la ordenación del territorio a la pena de seis meses de prisión por cada uno de ellos y multa de doce meses con cuota diaria de diez euros; y contra el Auto de la Audiencia Provincial de Córdoba, de 7 de julio de 2010, que desestimó el incidente de nulidad de actuaciones interpuesto contra la sentencia condenatoria. Ha intervenido el Ministerio Fiscal y el Letrado de la Junta de Andalucía.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5 de noviembre de 2010, don Pedro Antonio González Sánchez, Procurador de los Tribunales, y de don Fermín Vioque Ruiz,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Penal núm. 1 de Córdoba, de 17 de julio de 2009, absolvió al recurrente del delito contra la ordenación del territorio recogido en el art. 319.1 del Código penal (CP) del que, junto con otras personas, había sido acusado por el Ministerio Fiscal y por la Junta de Andalucía. Los términos de la acusación se concretaban en que el acusado había realizado diversas obras de acondicionamiento y reforma en una construcción y en el terreno sito en una parcela de su propiedad que se hallaba en suelo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Recurrida la Sentencia en apelación, la Audiencia Provincial de Córdoba, en Sentencia de 13 de mayo de 2010, revocó el pronunciamiento absolutorio y condenó al recurrente como autor de un delito contra la ordenación del territorio del art. 319.2 CP, por la construcción de un “almacén o similar anexo a una de las naves antiguas existente en la finca”. En su fundamento jurídico séptimo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delito que es objeto de acusación, el previsto en el artículo 319.1 del Código Penal, entendemos que existen unas dudas más que razonables de que el arquitecto y con él los otros acusados tuvieran conocimiento o hubieran podido tenerlo procediendo con una diligencia adecuada, de que esa parcela estaba integrada en el BIC. Ahora bien, estamos hablando de acusación por el tipo agravado, siendo el tipo básico el del párrafo 2 del mismo artículo 319 que se refiere a edificaciones no autorizables en suelo no urbanizable, y en el caso de autos como se ha puesto de manifiesto a lo largo del juicio, en la parcela en cuestión sólo eran posibles obras de ornato, higiene y conservación … No obstante, esta cuestión, aun de pasada, es resuelta por la sentencia de instancia aludiendo a que se trataría de obras autorizables…, fundándose en lo declarado por la Sra. [XXX], porque las obras no ‘dañan el entorno y sí lo mejoran’, afirmación que se realiza —se repite— a la vista de las fotografías aportadas inicialmente y de lo que la misma pudo observar después, pero que no sirve para modificar lo que realmente es autorizable, obras de ornato, conservación e higiene, tal como, insistimos, se ha puesto de manifiesto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Audiencia Provincial que la condena no infringiría el principio acusatorio, por cuanto concurren tanto la exigencia de homogeneidad delictiva, al proteger ambas figuras delictivas el mismo bien jurídico y dado que el relato fáctico en que se basa la acusación es común con el que funda la condena “puesto que se trata de las mismas obras que se incluyen en el relato de hechos por las acusaciones y la necesidad de contar, a lo que se ha de unir lo dicho antes sobre que las únicas obras autorizables aquí serían las de ornato, conservación 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condenatoria interpuso el recurrente incidente de nulidad de actuaciones, alegando motivos que ahora son reiterados en la demanda de amparo, siendo desestimado por Auto de 7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actor presentó escrito solicitando la aclaración del citado Auto, en torno a si la resolución del incidente de nulidad de actuaciones se había resuelto a partir de la regulación anterior a la Ley Orgánica 6/2007, de 24 de mayo. El 16 de septiembre de 2010, la Sala rechazó la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denuncia la vulneración del derecho a un proceso con todas las garantías (art. 24.2 CE), por la indebida tramitación del recurso de apelación presentado contra la Sentencia absolutoria por el Letrado de la Junta de Andalucía. Alega el recurrente, en primer lugar, que el mismo fue admitido a trámite pese a haber sido presentado fuera de plazo, desde el momento en que la Sentencia recurrida se había notificado a la delegación de la Consejería de Cultura con anterioridad a la notificación efectuada a los servicios jurídicos y, desde la fecha de esa primera notificación, cuando se presenta el recurso había transcurrido el plazo legalmente fijado. En segundo lugar, cuando se presentó dicho recurso ya figuraban en las actuaciones tanto el recurso interpuesto por el Ministerio Fiscal como los escritos de impugnación al mismo presentado por las defensas, por lo que el Letrado de la Junta de Andalucía tenía un conocimiento exacto de las pretensiones y argumentos de las demás partes procesales, ventaja manifiesta que no debe ser permitida y que causa indefensión al recurrente, porque al no habérsele notificado el recurso del Letrado de la Junta de Andalucía, pensó que se aquietaba a la Sentencia absolutoria. En tercer lugar, aduce el recurrente que esa falta de notificación le causa indefensión y le ha producido un perjuicio irreparable, pues —como la misma Sentencia de la Audiencia Provincial afirma— con el solo recurso del Ministerio Fiscal, la Sala sólo podía confirmar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amparo se invocan los derechos a la tutela judicial efectiva (art. 24.1 CE), a ser informado de la acusación y a un proceso con todas las garantías (art. 24.2 CE), alegando el demandante que se ha infringido el principio acusatorio. De una parte, al haber sido condenado por hechos distintos a aquellos por los que era acusado, en atención a dos órdenes de argumentos. En primer lugar, porque la condena se funda en la construcción de un “almacén o similar anexo a una de las naves antiguas existente en la finca” que no figuraba en los escritos de acusación y que no fue objeto de debate en el juicio oral; en segundo lugar, porque la Sala ha sostenido la condena en la valoración de unas fotografías que forman parte de un informe policial de fecha posterior a los escritos de acusación y que, por tanto, no fue aportada como prueba por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tercer motivo de amparo aparece también fundamentado en la infracción del principio acusatorio, por haber sido condenado en virtud de título de imputación distinto al solicitado por la acusación. Afirma el recurrente que tanto el Ministerio Fiscal como la acusación particular vincularon los hechos —en el escrito de acusación elevado a definitivo y en el recurso de apelación— a la modalidad delictiva recogida en el art. 319.1 CP, que castiga la construcción en zonas protegidas; sin embargo, tras expresamente concluir que el citado tipo legal no es aplicable a los hechos, la Audiencia Provincial aplica el art. 319.2 CP, que sanciona la construcción no autorizable en suelo no urbanizable. En la demanda se viene a admitir, no obstante, que “en razón de la homogeneidad, el Juzgado ‘a quo’ no se habría excedido de sus facultades si hubiera condenado por el segundo párrafo del artículo 319 del CP”, situando con ello el núcleo de la queja en que por el órgano de apelación se infringe la prohibición de reformatio in peius, pues la acusación por tal delito no había sido planteada por las acusaciones en sus respectivos recursos de apelación, lo que le causa indefensión al no haber podido combatir los términos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denuncia la vulneración del derecho a la igualdad (art. 14 CE), en que habría incurrido el órgano judicial por haber condenado únicamente al recurrente, absolviendo a los restantes acusados, pese a ser los hechos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que la resolución del incidente de nulidad de actuaciones por parte de la Audiencia Provincial se ha basado en la regulación de tal remedio procesal anterior a la reforma operada por la Ley Orgánica 6/2007, lo que sería constitutivo de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epígrafe quinto de los fundamentos de Derecho de la demanda se dedica a la justificación de la especial trascendencia constitucional, en los siguientes términos. Se afirma primero que “la trascendencia constitucional de este recurso, aprecia de la propia lectura de los hechos que han dado motivo a plantear el recurso” (sic.), reiterándose después que el principio acusatorio “tiene especial trascendencia constitucional, pues tiene su base en el derecho a la tutela judicial efectiva, en el derecho a ser informado de la acusación y en el derecho a un proceso con todas las garantías”, y concluyendo que “en definitiva, del examen de los párrafos anteriores se infiere la especial trascendencia constitucional, pues ha quedado afectada la aplicación de los artículos de la C.E. infringidos, así como el contenido y alcance de los derechos fundamentales expresados que han sido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9 de junio de 2011,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13 de octubre de 2011 se acordó tener por personado y parte en el procedimiento al Letrado de la Junta de Andalucía, así como dar vista de las actuaciones a las partes personadas y al Ministerio Fiscal y otorgarse, conforme al art. 52.1 LOTC, un plazo común de veinte días a las partes para que alegaran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de amparo presentó escrito de alegaciones registrado en este Tribunal el 15 de noviembre de 2011, en el que se remitió a los motivos aducidos en su demanda de amparo, poniendo de manifiesto, además, que la Sección que dictó la Sentencia condenatoria objeto de recurso tiene un mayor índice de condenas en materia de delitos contra la ordenación contra el territorio que otras secciones de la Audiencia Provincial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Letrado de la Junta de Andalucía se evacuó el citado trámite mediante escrito registrado el 17 de noviembre de 2011, en el que se solicitó la desestimación de la demanda de amparo, por no apreciarse la vulneración de derechos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 El Ministerio Fiscal, en escrito registrado el 20 de enero de 2012, interesó la inadmisión del recurso de amparo, por no satisfacer el requisito de admisibilidad establecido en los arts. 49 y 50.1 b) LOTC, referido a la justificación de la especial trascendencia constitucional. Argumenta al respecto que la demanda fundamenta la existencia de trascendencia constitucional basándose únicamente en la reiteración del contenido de los derechos fundamentales que se estiman vulnerados; proceder que, siguiendo lo establecido, por ejemplo, en la reciente STC 143/2011, de 26 de septiembre, no satisface la citada carga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solicitó la desestimación de la demanda, ante la inexistencia de las vulneraciones de derechos aducidas. En relación con el primero de los motivos de amparo, afirma el Ministerio Fiscal que, de una parte, no cumpliría con el requisito del agotamiento de la vía judicial, al haberse aquietado el actor con los términos de la providencia de 23 de marzo de 2010, en la que se le pedía al recurrente que manifestara si mantenía el recurso de reforma duplicado o desistía del mismo; y, de otra, la subsanación de la notificación efectuada al Letrado de la Junta de Andalucía no puede entenderse como lesiva del derecho fundamental que se invoca, pues responde a la rigurosa aplicación del art. 11 de la Ley 52/1997,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en segundo lugar, afección alguna del principio acusatorio. En primer lugar, los escritos de acusación incluyen la mención al almacén por cuya construcción es condenado el actor, habiendo sido objeto de debate en el juicio oral. En segundo lugar, carece de relevancia constitucional la incorporación de un nuevo documento tras los escritos de calificación, ya que se dio conocimiento previo a las partes personadas y fue introducido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condena por tipo penal distinto a aquel por el que el recurrente fue acusado, manifiesta el Ministerio público que, a su juicio, ambos delitos pueden considerarse homogéneos; afirma al respecto que, si bien no existe una total coincidencia entre los términos “no autorizada” del art. 319.1 (en su versión vigente al momento de realización de los hechos) y “no autorizable” del art. 319.2 CP, en el caso concreto ambas expresiones son perfectamente parangonables, puesto que la ausencia formal del acto administrativo de la autorización —licencia— siempre se daría en este caso, al tratarse de obras “no autorizables” por estar sometidas a un plan especial de protección. Por lo demás, tal carácter autorizable de la construcción fue objeto de debate en el juicio oral, por lo que pudo defenderse de este aspecto del hecho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igualmente de solidez, según el Ministerio Fiscal, la alegación relativa al derecho a la igualdad en la aplicación de la ley (art. 14 CE), puesto que el citado derecho no ampara la igualdad en la ilegalidad pretendida por el actor. Por último, rechaza la alegación de que la Audiencia haya tomado como base para la desestimación del incidente de nulidad de actuaciones la regulación anterior a la Ley 6/2007, puesto que da cumplida respuesta a las alegaciones sobre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11 de octubre de 2012, se señaló para deliberación y fallo de la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Córdoba de 13 de mayo de 2010 que, revocando la absolución acordada en primera instancia, condenó al recurrente como autor de un delito contra la ordenación del territorio, y contra el Auto de 7 de julio de 2010, que desestima el incidente de nulidad de actuaciones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y a la igualdad en la aplicación de la ley (art. 14 CE), con la argumentación que queda ampliamente expuesta en los antecedentes de esta resolución. El Ministerio Fiscal, por su parte, interesa la inadmisión del recurso, por falta de justificación de la especial trascendencia constitucional [arts. 49 y 50.1 b) de la Ley Orgánica del Tribunal Constitucional (LOTC)]; subsidiariamente, aboga por su desestimación. El Letrado de la Junta de Andalucía propone también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la solicitud efectuada por el Ministerio Fiscal, y con carácter previo al examen de fondo de las quejas aducidas, debemos examinar si procede la inadmisión del recurso de amparo a tenor de lo dispuesto en el art. 50.1 a) LOTC, en relación con el art. 49.1 de la misma Ley Orgánica, por no haber satisfecho el recurrente la carga que le incumbía de justificar la especial trascendencia constitucional del recurso. Tal como hemos puesto de relieve en recientes pronunciamientos, el análisis de esta concreta causa de inadmisión no resulta impedido por el momento procesal en el que nos encontramos, pues es doctrina reiterada de este Tribunal que los defectos insubsanables de que pudiera estar afectado el recurso de amparo no resultan sanados porque la demanda haya sido inicialmente admitida a trámite. Por consiguiente, la comprobación de los presupuestos para la viabilidad del recurso, incluido el que ahora nos ocupa, pueden volverse a abordar o reconsiderarse en la Sentencia, de oficio o a instancia de parte, dando lugar, en su caso, a un pronunciamiento de inadmisión por falta de tales presupuestos, criterio que también rige cuando se trata de la carga de justificación de la especial trascendencia constitucional que corresponde al recurrente (SSTC 69/2011, de 16 de mayo, FJ 2; y 143/2011,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manifestado en las citadas resoluciones, debemos comenzar señalando que conforme a lo dispuesto en el art. 50.1 a) LOTC, el recurso de amparo no puede ser admitido a trámite si el recurrente no cumple —además de los restantes requisitos procesales previstos en los arts. 42 a 44 LOTC— la ineludible exigencia impuesta por el art. 49.1 in fine LOTC de justificar de manera expresa en la demanda de amparo la especial trascendencia constitucional del recurso (AATC 188/2008, de 21 de julio, FJ 1; 289/2008 y 290/2008, ambos de 22 de septiembre, FJ 1). En el mismo sentido, en la STC 155/2009, de 25 de junio, FJ 2, dictada por el Pleno de este Tribunal, se insistió en que el recurrente “ha de satisfacer necesariamente, de acuerdo con lo dispuesto en el art. 49.1 in fine LOTC, la carga de justificar en la demanda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modo en el que se debe dar cumplimiento a la justificación de la especial transcendencia constitucional del recurso, debemos recordar que “aunque la indicada previsión del art.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A tal fin, aunque no existe un modelo rígido al que haya de ajustarse la redacción de las demandas de amparo, es claro que debe responder a los cánones propios de este tipo de escritos procesales” (SSTC 17/2011, de 28 de febrero, FJ 2; y 69/2011, de 16 de mayo, FJ 3). Sin perjuicio de lo anterior, se han de tener en cuenta las precisiones que, con relación a esa específica carga, ha ido efectuando este Tribunal a través de diversas resoluciones que despejan las posibles dudas sobre el modo en el que se tiene que hacer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este respecto, no sobra recordar, en primer lugar, que en la STC 155/2009, de 25 de junio —en la que identificamos, sin ánimo exhaustivo, determinados supuestos propiciadores de la apreciación de la “especial trascendencia constitucional”, avanzando en la interpretación del requisito del art. 50.1 b) LOTC—, hemos acotado (FJ 2) el perfil abierto tanto de ese concepto como de los tres criterios que la propia Ley ofrece para su caracterización (“su importancia para la interpretación de la Constitución, para su aplicación o para su general eficacia, y para la determinación del contenido y alcance de los derechos fundamentales”), facilitando a los recurrentes en amparo el cumplimiento de la carga justificativa que les impone el art. 49.1 LOTC (STC 143/2011,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procede enfatizar que, como recuerda la citada STC 69/2011, FJ 3, la carga de justificar la especial trascendencia constitucional del recurso de amparo es algo distinto a razonar la existencia de la vulneración de un derecho fundamental (AATC 188/2008, de 21 de julio, FJ 2; 289/2008, de 22 de septiembre, FJ 2; 290/2008, de 22 de septiembre, FJ 2; 80/2009, de 9 de marzo, FJ 2; y 186/2010, de 29 de noviembre, FJ único) y que, por consiguiente, es necesario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En otras palabras,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(ATC 252/2009, de 19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procedería la inadmisión de la demanda cuando “la recurrente en amparo no trasciende en su razonamiento la mera justificación de la existencia de la lesión subjetiva denunciada, sin justificar en modo alguno la proyección objetiva del amparo solicitado, que traduzca en el plano formal (art. 49.1 LOTC) la exigencia material de la especial trascendencia constitucional del recurso de amparo establecida por el art. 50.1 b) LOTC como requisito de procedibilidad de la demanda” (ATC 264/2009, de 16 de noviembre, FJ único). En coherencia con lo anterior, cabe advertir que a la parte recurrente le es exigible un “esfuerzo argumental” (ATC 154/2010, de 15 de noviembre, FJ 4) que ponga en conexión las vulneraciones constitucionales que alega con los criterios establecidos en el art. 50.1 b) LOTC, precepto este último, según el cual, la especial trascendencia del recurso se apreciará atendiendo a “su importancia para la interpretación de la Constitución, para su aplicación o para su general eficacia, y para la determinación del contenido y alcance de los derechos fundamentales”. Sin embargo, no bastará para dar por cumplimentada la carga justificativa, con una simple o abstracta mención en la demanda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(ATC 187/2010, de 29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última consideración se muestra relevante para el análisis que ahora nos atañe. Teniendo en cuenta la centralidad que como pauta orientativa posee la STC 155/2009, este Tribunal ha tomado en consideración la fecha de la interposición de la demanda en relación con la fecha de la publicación, el 28 de julio de 2009, de la STC 155/2009, de 25 de junio, atenuando el rigor en la valoración del cumplimiento de la carga justificativa de la especial trascendencia constitucional en las demandas interpuestas con anterioridad a esa fecha (AATC 4/2010 y 5/2010, ambas de 14 de enero; 69/2011, FJ 3; 143/2011, FJ 2). Ahora bien, ese criterio flexible no puede desvirtuar el requisito, ni puede suponer tampoco una excepción del deber de cumplimiento de la carga justificativa en los supuestos en los que se produce aquel tipo de relación temporal entre la fecha de interposición de la demanda y la de publicación, el 28 de julio de 2009, de la STC 155/2009, de 25 de junio. Por el contrario, determina únicamente —como señaláramos en la STC 69/2011, FJ 3— la modulación del rigor en la valoración de los términos en los que se produjo su cumplimiento en las demandas interpuestas con anterioridad a aquella fecha (STC 143/2011,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el acervo doctrinal acabado de exponer, hemos de dar la razón al Ministerio Fiscal y concluir que la demanda de amparo no contiene una justificación suficiente de su especial trascendencia constitucional conforme exige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junto a la exposición de los antecedentes de hecho, de las vulneraciones de derechos fundamentales que se entienden cometidas y del concreto amparo solicitado, se introduce un apartado específico en los fundamentos jurídicos, referido a la “trascendencia constitucional del recurso”. En él se argumenta que “la trascendencia constitucional de este recurso, aprecia de la propia lectura de los hechos que han dado motivo a plantear el amparo” (sic.), añadiéndose que “de la simple lectura de los hechos segundo y tercero, corroborados sus contenidos por los documentos acompañados, se aprecia la vulneración del principio acusatorio; este principio tiene especial trascendencia constitucional, pues tiene su base en el derecho a la tutela judicial, en el derecho a ser informado de la acusación y en el derecho a un proceso con todas las garantías”; y se concluye el citado apartado afirmando que “en definitiva, del examen de los párrafos anteriores se infiere la especial trascendencia constitucional, pues ha quedado afectada la aplicación de los artículos de la C.E. infringidos, así como el contenido y alcance de los derechos fundamentales expresados que han sido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semejante al enjuiciamiento efectuado en la STC 69/2011, de 16 de mayo, al resolver un supuesto muy similar, en el presente caso se evidencia que el recurrente identifica la especial trascendencia constitucional de su recurso con la lesión misma de los derechos fundamentales, al considerar justificación bastante de aquélla la alegada afección sobre “el contenido y alcance de los derechos fundamentales”; por lo demás, tampoco esa implícita alusión al tenor literal del art. 50.1 b) LOTC puede satisfacer la carga procesal, pues se halla huérfana de toda argumentación adicional que, por ejemplo apelando a las circunstancias descritas en la STC 155/2009, desvinculara los razonamientos del demandante de los que pretenden sostener la vulneración de derechos fundamentales. En definitiva, y sirviéndonos de conclusiones expuestas en la citada STC 69/2011, “esas alegaciones que identifican especial trascendencia constitucional con lesión del derecho fundamental y que, de forma abstracta, se refieren a la relevancia para la eficacia general de la Constitución sin realizar argumentación específica al respecto, no satisfacen, conforme a la doctrina constitucional que antes se ha expuesto, la carga de justificación que la LOTC requiere, toda vez que no permiten comprobar por qué el contenido del recurso merece una decisión de fondo, más allá del interés propio de la reparación de la eventual lesión de derechos fundamentales en ese caso concreto” (FJ 4). Por lo demás, a ello debe añadirse que la demanda de amparo fue presentada en el Registro de este Tribunal el 5 de noviembre de 2010, más de un año después de la publicación en el “Boletín Oficial del Estado” de la STC 155/2009, de 25 de junio, por lo que no puede verse beneficiada de una modulación a la baja en punto al rigor exigible en la carga de justificar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la inadmisión de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formulado por don Fermín Vioque Ruiz contra la Sentencia de 13 de mayo de 2010 y contra el Auto de 7 de julio de 2010, dictados ambos por la Sección Primera de la Audiencia Provincial de Córdoba.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