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7526-2004 promovido por el Consejo de Gobierno de la Comunidad de Madrid, en relación con los apartados 2.1 b) y 5 de la Orden TAS/2783/2004, de 30 de julio, por la que se establecen las bases reguladoras para la concesión de subvenciones públicas mediante contratos programa para la formación de trabajadores, en desarrollo del Real Decreto 1046/2003, de 1 de agosto, por el que se regula el subsistema de formación profesional continua. Ha comparecido y formulado alegaciones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diciembre de 2004 tuvo entrada en el Registro General de este Tribunal Constitucional, escrito del Letrado de la Comunidad de Madrid, por el que, en la representación que legalmente ostenta, interpone conflicto positivo de competencia, tramitado con el número 7526-2004, en relación con los apartados 2.1 b) y 5 de la Orden TAS/2783/2004, de 30 de julio, por la que se establecen las bases reguladoras para la concesión de subvenciones públicas mediante contratos programa para la formación de trabajadores, en desarrollo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las actuaciones procedimentales seguidas en la fase previa de requerimiento de incompetencia, el representante de la Comunidad Autónoma señala que la Orden TAS/2783/2004, de 30 de junio se dicta en desarrollo del Real Decreto 1046/2003, de 1 de agosto, y viene a regular una de las distintas iniciativas de formación continua contempladas en el mismo, en concreto, los contratos programa para la formación de los trabajadores a que se refieren los arts. 14 y 15 del Real Decreto 1046/2003, de 1 de agosto, siendo su objeto el de establecer las bases reguladoras para la concesión de subvenciones públicas mediante contratos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la materia regulada se encuadra competencialmente en el ámbito de lo dispuesto en el art. 149.1.7 CE y art. 28.1.1.12 del Estatuto de Autonomía de la Comunidad de Madrid, en virtud de los cuales, corresponde al Estado la competencia exclusiva en materia de “legislación laboral” y a la Comunidad Autónoma la ejecución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objeto del presente conflicto incide directamente sobre las competencias de ejecución y gestión de la Comunidad de Madrid, en dos aspectos concretos: en primer lugar, al condicionar los contratos programa de carácter autonómico y sectorial a la negociación colectiva estatal, evitando la participación de la Comunidad de Madrid en una parte fundamental, la que se refiere a los sectores productivos de su territorio; y en segundo término, al imponer a las Comunidades Autónomas, de forma taxativa y excluyente, las entidades beneficiarias, a través de las cuales se ha de llevar a cabo la “ejecución” de los planes de formación continua mediante la suscripción de contratos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aspectos suponen la implantación de un sistema de gestión centralizada de la formación continua de los trabajadores ocupados, que resulta contrario a lo señalado por el Tribunal Constitucional en su Sentencia 95/2002, de 25 de abril, en cuanto determinan una intervención genérica u horizontal que se proyecta sobre toda la función gestora, intervención para la que el Estado no está habilitado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considera la representación autonómica que el apartado 2.1 b) restringe su autonomía política y su capacidad de autogobierno, vulnerando el orden constitucional de distribución de competencias, pues las Comunidades Autónomas en general, y la Comunidad de Madrid en particular, deben atenerse a la limitación que para la suscripción de contratos programa de carácter autonómico impone la orden, al condicionarlo a la negociación colectiva estatal, y al cumplimiento de alguno de los requisitos previstos en el citado apartado, con lo que se restringe la participación de las Comunidades Autónomas en la determinación de los sectores representativos de su ámbito territorial. En definitiva, se hacen depender los contratos programa de ámbito autonómico, de lo que pueda resultar de la negociación colectiva estatal, hecho que supone la asunción por parte del Estado de competencias de ejecución y de funciones de gestión de las subvenciones, vaciando de contenido las competencias autonómicas. A ello se añade que la restricción en relación con la posibilidad de que las Comunidades Autónomas puedan suscribir contratos programa para la ejecución de planes de formación continua sectoriales, supeditándola a la concurrencia de alguno de los dos requisitos o supuestos que contempla el precepto, no aparece recogida en el Real Decreto 1046/2003, de 1 de agosto, que la orden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las subvenciones públicas a otorgar mediante la suscripción de contratos programa se incardinan en el tercero de los supuestos previstos en el fundamento jurídico 8 de la STC 13/1992, de 6 de febrero, que admite que el Estado puede extenderse en la regulación de detalle respecto del destino, condiciones y tramitación de las subvenciones, dejando a salvo la potestad autonómica de autoorganización de los servicios, siendo así que en el presente supuesto se recoge una especificación de las subvenciones en tal grado de concreción y detalle, que se priva a la Comunidad Autónoma de desarrollar, en el sector subvencionado, una política orientada a la satisfacción de sus intereses peculiares.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apartado 5, el representante autonómico afirma que la determinación por parte del Estado, con carácter exclusivo y excluyente, de las entidades beneficiarias de la concesión de subvenciones públicas para la ejecución de planes de formación continua (organizaciones empresariales y sindicales, que realmente son entidades intermediarias, pues a través de ellas se ejecutan los plantes de formación) impide a las Comunidades Autónomas gestionar las acciones de formación profesional continua, pues la entidad que ha de ejecutar la formación continua viene impuesta por el Estado, incidiendo la Administración estatal en un ámbito que no es de normación o legislación, sino claramente de ejecución, lo que excluye el ejercicio por las Comunidades Autónomas de las funciones inherentes a la actuación administrativa precisa para la gestión y concesión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 la Comunidad Autónoma alega la violación del principio de autonomía financiera de la Comunidad de Madrid, considerando que dicho principio se configura como una garantía que exige la plena disposición de los medios financieros para poder ejercer sin condicionamientos indebidos y en toda su extensión las competencias propias. Los preceptos objeto del conflicto inciden en el ámbito de dicha autonomía financiera, restringiendo la libertad de la Comunidad de Madrid para la fijación de la orientación del gasto público en esta materia y limitando las posibilidades de distribución del mismo dentro del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Segunda de 18 de enero de 2005, admitió a trámite el conflicto positivo de competencia promovido por el Consejo de Gobierno de la Comunidad de Madrid,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25 de febrero de 2005 tuvo entrada en este Tribunal escrito de alegaciones del Abogado del Estado en el que solicita se tenga por evacuado el trámite conferido y, en su día, se dicte Sentencia desestimatoria de la demanda, declarando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recordando que el requerimiento previo formulado por el Consejo de Gobierno fue parcialmente aceptado por el Gobierno de la Nación y ello entraña que el objeto del presente proceso haya pasado a reducirse a las pretensiones no acogidas en fase de requerimiento. A su juicio, el acuerdo del Consejo de Ministros de aceptación parcial del requerimiento reconoce la competencia de ejecución de la Comunidad demandante en mucha mayor medida que la reflejada en la demanda, por lo que puede llegar a inferirse que la promoción del conflicto no pretende sino restringir el legítimo ejercicio por el Estado de su competencia exclusiva sobre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que la competencia estatal se asienta tanto en el art. 149.1.1 CE, en relación con los arts. 40.1 y 138.1 CE, como en el art. 149.1.7 y 13 CE, si bien afirma a continuación que la disposición en conflicto debe ser constitucionalmente medida con las normas constitucionales y estatutarias en materia laboral (art. 149.1.7 CE y art. 28.1.12 del Estatuto de Autonomía de la Comunidad de Madrid), recordando que el Tribunal Constitucional en sus Sentencias 95/2002, de 25 de abril, y 190/2002, de 17 de octubre, a la hora de establecer el título competencial con el que debería identificarse la formación continua de los trabajadores ocupados optó por incardinarla en la materia laboral, al constituir un derecho concreto de los trabajadores en el seno de la relación laboral, de suerte que el precepto constitucional que ampara la competencia para legislar sobre la actividad es el art. 149.1.7 de nuestra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impugnada encuentra además cobertura constitucional en la competencia estatal de ordenación y dirección general de la economía (art. 149.1.13 CE) por lo que procede asimismo valorar la doctrina constitucional sobre el poder de gasto del Estado, en cuanto el contenido de la orden constituye un supuesto de potestad subvencional, al que resulta de aplicación la doctrina constitucional recapitulada en la STC 13/1992, de 6 de febrero, siendo de aplicación el tercero de los supuestos contenidos en la Sentencia. En este sentido, la competencia estatal para establecer las bases reguladoras para la concesión de subvenciones públicas mediante contratos programa para la formación de trabajadores resulta correctamente ejercitada en orden a asegurar la plena efectividad de la medida de política de empleo y a garantizar las mismas posibilidades de obtención y disfrute de las ayudas por parte de sus destinatarios potenciales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las tachas de inconstitucionalidad esgrimidas respecto del apartado 2.1 b), el representante estatal considera que la formación continua como instrumento de promoción del empleo y como derecho de los trabajadores no puede ser desconocido por los acuerdos con rango de ley que regulan los derechos de los trabajadores en una determinado sector, y que son convenios colectivos sectoriales. Tales convenios se encargan también de regular aspectos relativos a la formación continua, teniendo para ello en consideración las necesidades y peculiaridades del sector de que se trate, necesidades que adquieren una dimensión que sólo puede resultar correctamente atendida a través de la negociación colectiva estatal, cuyo previo acuerdo a la suscripción de estos contratos programa facilitará que aquéllas se vean satisfechas pese a tratarse de un plan circunscrito a una determinada Comunidad Autónoma o de una suma de planes de ámbito autonómico. Las exigencia contenidas en este apartado han sido dictadas por el Estado en ejercicio de su competencia exclusiva sobre la legislación laboral, tratando con ello de trasladar las peculiaridades y necesidades de un sector determinado a todos los planes de formación sectoriales de carácter autonómico diseñados por las organizaciones empresariales y sindicales más representativas a dicho nivel, en un intento de dotar al sector de una formación continua específica y homogénea, pues la promoción profesional y la competitividad del mercado transcienden de las características propias de un mercado laboral circunscrito a un ámbito local. Con ello no se restringen las posibilidades de la Comunidad de Madrid para determinar los sectores representativos en su ámbito territorial, pues el establecimiento de este tipo de contratos programa y sus requisitos no vulnera las competencias ejecutivas o de gestión de la demandante, dado que el Estado ni siquiera interviene en la negociación colectiva estatal, siendo a los agentes sociales a quienes incumbe participar en dicha negociación.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relación de entidades beneficiarias que incluye el apartado 5, se estima que el mismo ha sido también dictado en ejercicio de las competencias que sobre legislación laboral incumben al Estado, sin que dicha previsión se incardine entre las competencias ejecutivas de las Comunidades Autónomas. Para el representante estatal, la argumentación esgrimida por la Administración autonómica parece confundir la competencia de gestión atribuida a ésta, con la figura del particular beneficiario al que corresponde por su propia condición de tal, desarrollar el plan de formación, pues olvida que ambos llevan a cabo actuaciones que se desarrollan en planos distintos: la actividad pública de gestión a cargo de la Administración autonómica, y la actividad privada de gestión de la actividad subvencionada a cargo del beneficiario de la subvención. Se niega por último la vulneración del principio de autonomía financiera, puesto que disponiendo el Estado de título competencial suficiente para comprometer sus recursos en esta materia, las previsiones impugnadas en nada vienen a vulnerar el mencionado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septiembre de 2005, la Sección Segunda acuerda, de conformidad con lo dispuesto en el art. 84 LOTC, oír a las partes personadas por término de diez días, para que aleguen sobre la pérdida de objeto del presente conflicto positivo de competencia a la vista de las Órdenes TAS/2094/2005, de 17 de junio, y TAS/2562/2005, de 28 de julio, por las que se modifica la Orden TAS/2783/2004, de 30 de julio, de la que trae causa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10 de octubre de 2005 tuvo entrada en este Tribunal el escrito de alegaciones evacuado por el Abogado del Estado, de acuerdo con la anterior providencia. A juicio de la representación estatal, las disposiciones reglamentarias a que alude la citada providencia inciden sólo en parte en la pervivencia del conflicto positivo de competencias planteado en su día, pues la Orden TAS/2094/2005 viene a modificar determinados preceptos, ninguno de los cuales resulta coincidente con los impugnados por la Comunidad de Madrid, por lo que no hace perder virtualidad al conflicto planteado; por su parte, la Orden TAS/2562/2005 tiene por objeto modificar el apartado 2.1 b) de la disposición objeto del conflicto, eliminando el requisito relativo al previo acuerdo de la negociación colectiva sectorial estatal así como los supuestos en los que cabe la suscripción de este tipo de contratos programa. Dado que la Comunidad Autónoma demandante fundamenta precisamente la tacha de inconstitucionalidad que dirige contra este apartado en el establecimiento de los citados requisitos y puesto que vienen a ser suprimidos, resulta manifiesto que el contenido de la modificación efectuada determina la extinción sobrevenida del objeto del proceso conflictual en relación con dicho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5, permanece viva la controversia competencial suscitada, pues en nada afecta a dicho apartado la modificación contenida en la Orden TAS/2562/2005. En cuanto a la vulneración de la autonomía financiera de las Comunidades Autónomas de que acusa la demanda a los apartados impugnados, la denunciada vulneración no llega a desaparecer con la modificación introducida, lo que se traduce en la pervivencia de la controversia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20 de octubre de 2005 tuvo entrada en el Registro General de este Tribunal el escrito de alegaciones del Letrado de la Comunidad de Madrid sobre la posible pérdida de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disputa competencial suscitada respecto del apartado 2.1 b), la Comunidad de Madrid entiende que con la modificación operada por la Orden TAS 2562/2005, de 28 de julio, se da por parte del Estado una redacción conforme a algunas de las cuestiones suscitadas, en concreto las relativas a la tipología de los contratos programa, pero sin que exista pronunciamiento alguno sobre la titularidad competencial que origina el conflicto, por lo que se mantiene viva la disputa competencial. En relación con el apartado 5 de la orden objeto del conflicto, considera el Letrado autonómico que la regulación no se ha visto alterada en modo alguno por las nuevas órdenes de modificación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7 de octubre de 2005 tuvo entrada en el Registro General de este Tribunal, oficio de la Sección Cuarta de la Sala de lo Contencioso-Administrativo de la Audiencia Nacional en el que se informa que por Auto de 28 de julio, se ha suspendido el procedimiento seguido frente a la Orden TAS/2783/2004, de 30 de julio, y se solicita que una vez resuelto el presente conflicto positivo de competencia se participe su resultado a ese órgano, a fin de que pueda alzarse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2012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Comunidad de Madrid en relación con los apartados 2.1 b) y 5 de la Orden TAS/2783/2004, de 30 de julio, por la que se establecen las bases reguladoras para la concesión de subvenciones públicas mediante contratos programa para la formación de trabajadores en desarrollo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tienen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2.1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Tipología y duración de los contratos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En función de los objetivos a cubrir y del ámbito o naturaleza de la formación, se establecen los siguientes tipos de contratos programa, tanto para el ámbito estatal como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Contratos programa para la ejecución de planes de formación amparados en la negociación colectiva de ámbito sectorial estatal, dirigidos a la formación de trabajadores de un sector productivo concreto, con el fin de desarrollar acciones formativas de interés general para dicho sector y satisfacer necesidades específicas de formación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autonómico, podrán suscribirse contratos programa para la ejecución de planes de formación continua sectoriales cuando, contando con el acuerdo de la negociación colectiva sectorial estatal, concurra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sector tenga en el respectivo territorio un peso preponderante respecto al que tiene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formación se presente como instrumento para la solución o cobertura de problemas o necesidades excepcionales y de crisis de un determinado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precepto ha sido modificado por la Orden TAS/2562/2005, de 28 de julio (“BOE” de 5 de agosto de 2005) que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apartado Segundo. Uno letra b) de la Orden TAS/2783/2004, de 30 de julio, por la que se establecen las bases reguladoras para la concesión de subvenciones públicas mediante contratos programa para la formación de los trabajadores, en desarrollo del Real Decreto 1046/2003, de 1 de agosto, por el que se regula el Subsistema de Formación Profesional Continua EDL 2004/78154 , que quedará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Contratos programa para la ejecución de planes de formación amparados en la negociación colectiva de ámbito sectorial estatal, dirigidos a la formación de trabajadores de un sector productivo concreto, con el fin de desarrollar acciones formativas de interés general para dicho sector y satisfacer necesidades específicas de formación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ámbitos estatal y autonómico, los contratos programa para la ejecución de planes de formación continua sectoriales deberán respetar los criterios acordados en el marco de la negociación colectiva sectorial estatal, según lo previsto en el art. 19.2 c)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5 (“Entidades beneficiarias”) de la Orden TAS/2783/2004, de 30 de julio (“BOE” de 16 de agosto de 2004),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Serán entidades beneficiarias de la concesión de subvenciones públicas para la ejecución de planes de formación continua mediante la suscripción de contratos programa,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contratos programa de ejecución de planes de formación intersectoriales, previstos en el apartado segundo, uno, letra a) de la presente Orden, las organizaciones empresariales y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los contratos programa de ejecución de planes de formación sectoriales, previstos en el apartado segundo, uno, letra b) de esta Orden, las entidades creadas al amparo de la negociación colectiva sectorial, así como las organizaciones empresariales o sindicales más representativas o representativas en 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los contratos programa de ejecución de planes de la economía social, previstos en el apartado segundo, uno, letra c) de esta Orden, las confederaciones y federaciones de cooperativas y/o sociedades laborales con notable implantación en el correspondiente ámbito territorial. La notable implantación a que alude este párrafo se acreditará en la forma que determine la correspondiente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los contratos programa de ejecución de planes formativos dirigidos a trabajadores autónomos, previstos en el apartado segundo, uno, letra d) de la presente norma, las asociaciones de trabajadores autónomos con carácter intersectorial que tengan suficiente implantación en el respectivo ámbito territorial, con experiencia acreditada en la gestión y desarrollo de acciones formativas por sí mismas o a través de sus organizaciones asociadas y se hallen legalmente constituidas con anterioridad a la fecha de publicación de la correspondiente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De conformidad con lo establecido en el art. 11.2 de la Ley 38/2003, de 17 de noviembre, General de Subvenciones, los miembros asociados de la entidad beneficiaria que se comprometan a ejecutar la totalidad o parte del plan de formación en nombre y por cuenta de la misma tendrán igualmente la consideración de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De conformidad con lo establecido en el art. 11.3 de la Ley General de Subvenciones, tendrán asimismo la condición de beneficiarias, las agrupaciones formadas por las Entidades previstas en el punto 1 del presente apartado quinto con entidades vinculadas a las mismas, que tengan entre sus fines el desarrollo de actividades 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u apoderado único de la agrupación deberá pertenecer a alguna de las entidades beneficiarias previstas en el punto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No podrá obtener la condición de beneficiarias aquellas entidades en quienes concurra alguna de las circunstancias a que se refiere el art. 13, apartados 2 y 3, de la citada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Letrado de la Comunidad de Madrid fundamenta el conflicto en la vulneración de las competencias autonómicas en materia de ejecución de la legislación laboral, que derivan de lo dispuesto en el art. 28.1.1.12 del Estatuto de Autonomía de la Comunidad de Madrid (EAM) y que imputa al apartado 2.1 b) de la orden, en cuanto condiciona los contratos programa de carácter autonómico y sectorial, a la negociación colectiva estatal y al cumplimiento de los requisitos allí previstos, con lo que limita la participación de la Comunidad Autónoma en orden a la determinación de los sectores productivos representativos de su ámbito territorial; y al apartado 5 de la misma, en cuanto impone, de forma taxativa y excluyente, las entidades beneficiarias a través de las cuales se ha de llevar a cabo la ejecución de los planes de formación continua mediante la suscripción de contratos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regulación impugnada se encuentra plenamente respaldada por los títulos competenciales del Estado, en concreto por lo dispuesto en el art. 149.1.1 en relación con los arts. 40 y 138, todos ellos de la Constitución, y también en los artículos 149.1.7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especial lo establecido en los arts. 149.1.7 CE y en el art. 28.1.1.12 EAM determinan el encuadramiento competencial de la materia regulada que habilita al Estado para establecer un régimen jurídico unitario en materia de formación continua de trabajadores ocupados, que justifica y ampara la regulación efectuada en los apartados de la orden que son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enjuiciamiento de fondo, es preciso determinar la vigencia de la controversia competencial en los términos en que ha sido planteada, a la vista de las modificaciones operadas en la orden que es objeto del presente conflicto por la Orden TAS/2094/2005, de 17 de junio (“BOE” 1 de julio de 2005) y por la Orden TAS/2562/2005, de 28 de julio (“BOE” de 5 de agosto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procedente para ello, recordar nuestra específica doctrina en relación con las modificaciones normativas en procesos constitucionales de naturaleza competencial para concretar con mayor claridad el problema de la eventual pérdida de objeto en estos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reiteradamente, en relación a los procesos de naturaleza competencial,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[STC 149/2012, de 5 de julio, FJ 2 b)]. Y es que, como se señala en la STC 133/2012, de 19 de junio, FJ 2, “en las controversias de alcance competencial es necesario apreciar los efectos que tiene sobre el conflicto la entrada en vigor de la nueva normativa reguladora de algunos de los aspectos en discusión. Dicha operación debe realizarse atendiendo en cada caso a las circunstancias concretas y, ante todo, a la pervivencia de la controversia competencial, esto es, a si la disputa sobre la titularidad de la competencia sigue o no viva entre las partes, de modo que si la normativa en torno a la cual se trabó el conflicto resulta parcialmente modificada por otra que viene a plantear los mismos problemas competenciales, la consecuencia necesaria será la no desaparición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las SSTC 148/2012, de 5 de julio, FJ 2 b); 149/2012, de 5 de junio FJ 2 b); y 161/2012, de 20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las modificaciones introducidas por la Orden TAS/2094/2005 resultan irrelevantes en orden al presente conflicto, por cuanto se refieren a aspectos o cuestiones ajenas a las que han dado lugar a esta controversia competencial, al modificar los apartados 1; 13.2, primer párrafo; 14, primer párrafo; 16, último párrafo; 17.2, primer párrafo y 28.1.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así en el caso de la Orden TAS/2562/2005, cuyo artículo único viene precisamente a modificar el apartado 2.1 b) de la Orden TAS/2783/2004, que es objeto de la presente impugnación, pues, como ya hemos consignado al determinar el contenido de los preceptos impugnado, el apartado 2.1 b), en la redacción dada por la Orden TAS/2783/2005 condicionaba la suscripción, en el ámbito autonómico, de contratos programa para la ejecución de planes de formación continua sectoriales, a que se contase con el previo acuerdo de la negociación colectiva sectorial estatal y a la concurrencia de alguno de los siguientes supuestos: “el sector tenga en el respectivo territorio un peso preponderante respecto del que tiene a nivel estatal”, o “la formación se presente como instrumento para la solución o cobertura de problemas o necesidades excepcionales y de crisis de un determinado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introducida viene a eliminar la exigencia de que haya de contarse necesariamente con el previo acuerdo de la negociación colectiva sectorial estatal y suprime la referencia a los dos supuestos que, adicionalmente, habían de concurrir. En la nueva redacción dada al precepto, el respeto a la negociación colectiva sectorial estatal, en los ámbitos estatal y autonómico, se acota a “lo previsto en el art. 19.2 c) del Real Decreto 1046/2003, de 1 de agosto, por el que se regula el subsistema de formación profesional continua”. El mencionado artículo atribuye a las comisiones paritarias sectoriales, integradas por las organizaciones empresariales y sindicales más representativas en el sector o subsector, la función de “establecer los criterios orientativos para el acceso de los trabajadores a la formación”; y la constitucionalidad de este precepto fue expresamente reconocida por la STC 244/2012, de 18 de diciembre, FJ 8, en donde se vino a afirmar que la función atribuida por este precepto a las comisiones paritarias sectoriales no suscita objeciones en cuanto “se contraen al establecimiento o propuesta de criterios orientativos … que no afectan al ámbito propio de la ejecución del subsistema de formación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Letrado de la Comunidad de Madrid coinciden en que la modificación introducida en este precepto viene a resolver la tacha de inconstitucionalidad formulada en relación con el mismo, afirmando expresamente la representación autonómica que “la Comunidad de Madrid entiende que con la modificación operada en el apartado 2.1 b) de la Orden TAS/2783/2004, por la Orden TAS/2562/2005, de 28 de julio, se da por parte del Estado una redacción conforme a algunas de las cuestiones suscitadas por la Comunidad en el conflicto de competencia planteado, en concreto, las relativas a la tipología de los contratos programa, pero sin que exista pronunciamiento alguno sobre la titularidad competencial que origina el conflicto, subsistiendo o manteniéndose viva, no obstante la modificación de la Orden, la disputa competencial”. A la vista de lo anterior, y sin perjuicio pues del expreso pronunciamiento sobre la titularidad competencial en relación al presente conflicto, que a continuación se efectúa, no cabe sino concluir que la modificación operada en el apartado 2.1 b) determina la desaparición del objeto del conflicto en relación con este precepto, quedando pues circunscrita la presente controversia a lo dispuesto en el apartado 5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apartado 5 de la orden determina quiénes serán las entidades beneficiarias de la concesión de subvenciones públicas para la ejecución de planes de formación continua mediante la suscripción de contratos programa, en sus distintas modalidades.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Madrid considera que la determinación por la norma estatal, con carácter exclusivo y excluyente, de las entidades beneficiarias de las subvenciones, impide a la Comunidad Autónoma el ejercicio de las facultades que le corresponden para la gestión de estas ayudas, en virtud de las competencias que en materia de ejecución de la legislación laboral le atribuye el art 28.1.1.12 de su Estatuto de Autonomía, y excede, a su vez de las competencias que al Estado atribuye el art. 149.1.7 CE, en materia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conflicto exige comenzar por el encuadramiento competencial de las ayudas que se contemplan, a fin de determinar si, a la vista de las competencias del Estado y de la Comunidad de Madrid, se ha producido o no la vulneración competencial denunciada, tomando como parámetro sustantivo la doctrina constitucional, especialmente la recogida en la STC 13/1992, de 6 de febrero, en la que se afirma que “la legitimidad constitucional del régimen normativo y de gestión de las subvenciones fijado por el Estado depende de las competencias que el Estado posea en la materia de que se trate”, ya que “la subvención no es un concepto que delimite competencias”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la resolución de esta controversia que se suscita respecto a la regulación y aplicación de las ayudas y subvenciones que puedan establecerse en las distintas áreas o segmentos de la acción pública, hemos de partir de la distribución de competencias existente en la materia constitucional en la que proceda encuadrar las subvenciones de que se trate (por todas STC 38/2012,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orden que se examina se configura como norma de desarrollo de las previsiones contenidas en el art. 14 del Real Decreto 1046/2003, de 1 de agosto, por el que se regula el subsistema de formación profesional continua, disposición sobre la que hemos tenido ocasión de pronunciarnos en la STC 244/2012, de 18 de diciembre, y cuya doctrina, por tanto, resulta de directa aplicación al supuesto que nos ocupa, convirtiéndose en parámetro de referencia para resolver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lo que respecta a la delimitación competencial en esta materia, ambas partes coinciden en afirmar que el título competencial prevalente, en el que se incardinan las presentes ayudas, es el que deriva de lo dispuesto en el art. 149.1.7 CE, afirmación que resulta coincidente con la recogida en el fundamento jurídico 4 de la STC 244/2012, de 18 de diciembre, donde afirmamos que “sin excluir que el Estado pueda apelar al título del art. 149.1.13 CE para la decisión de expandir el círculo de los beneficiarios de la actividad prevista como formación continua hasta alcanzar a colectivos de trabajadores que no son propiamente trabajadores ocupados ni asalariados, el núcleo de la regulación, según la finalidad declarada por la norma, sigue siendo la formación profesional continua de trabajadores ocupados y asalariados, que tiene la consideración de ‘legislación laboral’ al amparo del art. 149.1.7 de la Constitución y cuya ejecución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 competencias en la materia deriva pues de lo dispuesto en el citado art. 149.1.7 CE, que atribuye al Estado la competencia exclusiva en materia de legislación laboral, y de lo señalado en el art. 28.1.1.12 del Estatuto de Autonomía de la Comunidad de Madrid, de conformidad con el cual corresponde a ésta la ejecución de la legislación del Estado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desprende de todo lo anterior que hay acuerdo entre las partes en que la orden objeto de conflicto se inscribe en la materia laboral. Pues bien, el reparto competencial en este ámbito material es que la función normativa corresponde al Estado y la actividad ejecutiva o de gestión a las Comunidades Autónomas. Así lo hemos afirmado, siguiendo la serie de resoluciones que se inició con la STC 95/2002, de 25 de abril (FJ 16), en la STC 244/2012, de 18 de diciembre (FJ 7), en la que, al analizar los apartados 1 a 4 del art. 14 del Real Decreto 1046/2003, dijimos que “estamos ante una materia, la laboral, en la que, como ya ha quedado señalado, el Estado posee competencias normativas plenas, lo que le habilita para establecer la completa disciplina normativa, incluyendo la definición de aquellos supuestos en que, por las características de la acción formativa y la naturaleza de sus beneficiarios, se exceden las competencias autonómicas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distribución de funciones supone que el Estado en materia laboral, de acuerdo con la doctrina establecida en el fundamento jurídico 8 c) de la STC 13/1992, de 6 de febrero, además de consignar subvenciones de fomento en sus presupuestos generales, especificando su destino y regulando las condiciones esenciales de otorgamiento, “puede extenderse en la regulación de detalle respecto del destino, condiciones y tramitación de las subvenciones, dejando a salvo la potestad autonómica de autoorganización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expuesto hasta aquí no nos conduce sin más a la resolución de este conflicto en los términos que está planteado, pues las partes discrepan, como también se deduce del fundamento jurídico precedente, sobre si la determinación de los beneficiarios de la ayuda materializada a través de los contratos programa se encuadra en la función normativa, que corresponde al Estado, o en la función ejecutiva o de gestión, que es atribución de la Comunidad Autónoma, divergencia que hemos de resolver a favor de la primera opción, pues es precisamente la naturaleza de los beneficiarios, tanto sus características como el ámbito de actuación de los mismos, uno de los criterios determinantes de la regulación de las ayudas a las que se refiere la orden objeto del conflicto, por lo que forma parte de la actividad normativa que compete al Estado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relevante recordar que este dilema ya está resuelto en nuestra doctrina, aunque sea en un ámbito parcialmente distinto. En efecto, entre otras, en las SSTC 72/2012, de 16 de abril, FJ 5; 77/2012, de 16 de abril, FJ 4; 173/2012, de 15 de octubre, FJ 7; y 226/2012, de 29 de noviembre; FJ 5, resolviendo sendos conflictos positivos de competencia respecto de ayudas en materia de asistencia social, hemos afirmado que el Estado, aunque no le asiste ninguna competencia genérica o específica en ese ámbito, tiene competencia para regular los aspectos centrales del régimen subvencional y que entre ellos figura la determinación de las entidades y organizaciones solicitantes de la ayuda. La oportunidad de retomar esta doctrina deriva de que lo discutido en aquellos asuntos y en éste, independientemente del supuesto de la STC 13/1992, de 6 de febrero, en que se encuadre cada uno, es si la delimitación de quienes pueden optar a una ayuda forma parte de la regulación de la misma o, por el contrario, de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tanto, que tratándose de subvenciones en materia laboral el Estado es competente para decidir qué entidades pueden ser beneficiarias de las ayudas, imponiéndoselo a las Comunidades Autónomas incluso respecto de las ayudas de ámbito autonómico, en la medida en que este aspecto se inserta en la función normativa de estas ayudas, que corresponde íntegramente al Estado según la doctrina constitucional mencionada en este fundamento jurídico [por todas, STC 13/1993,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respecto del último apartado, susceptible de valoración, sobre la alegada vulneración del principio de autonomía financiera de la Comunidad Autónoma, ya dijimos en la STC 36/2012, de 15 de marzo, FJ 7, “que no se podía realizar prima facie un pronunciamiento genérico, sino que había de estarse al contenido concreto de la norma, al objeto de determinar si se ha producido algún exceso competencial en dicha regulación con desconocimiento de la autonomía política y financiera de la citada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la reiterada doctrina de este Tribunal señala, respecto a que la “facultad de gasto público, consecuencia lógica de la autonomía financiera, no es un título legitimador de la atribución de competencias” (por todas, STC 95/1986, de 10 de julio, FJ 3), habiéndose precisado, con referencia a una frecuente manifestación de esta facultad de gasto, como son las subvenciones, que el hecho de invertir fondos propios en una determinada actividad no es un título competencial propio, ni el solo hecho de financiar puede erigirse en núcleo que atraiga hacia sí toda competencia sobre los variados aspectos a que pueda dar lugar la actividad de financiación (entre otras, STC 179/1985,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recuerda la STC 77/2012, de 16 de abril, FJ 4: “la actuación estatal subvencional solo se justifica en los casos en que, por razón de la materia subvencionada sobre la que opera, ‘la Constitución o los estatutos de Autonomía hayan reservado al Estado competencias sobre la materia subvencionada o que aquella actuación se enmarque en las facultades estatales de dirección o coordinación de la política económica en cuanto tales subvenciones puedan constituir elemento esencial de la misma. De lo que deriva que el Estado no puede condicionar las subvenciones o determinar su finalidad más allá del alcance de los títulos competenciales que amparen su intervención (STC 201/1988)’. En definitiva, concluíamos, con cita de la STC 96/1990, de 24 de mayo, FJ 15, habrá que estar a la normativa que dicte el Estado para cada tipo de subvención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solo alterar el sistema competencial, sino también distorsionar la autonomía financiera que para el ejercicio de sus competencias a las Comunidades Autónomas reconoce el art. 156.1 CE’. (STC 36/2012,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circunstancias de invasión competencial en la Comunidad Autónoma de Madrid no concurren en la cuestión planteada, pues el Estado dispone de título competencial adecuado para comprometer sus recursos en esta materia, razones que desvirtúan la alegada vulneración genérica que sobre la autonomía financiera realiza la parte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sin objeto el conflicto positivo de competencias interpuesto por el Gobierno de la Comunidad de Madrid en relación con el apartado segundo. uno b) de la Orden TAS/2783/2004, de 30 de julio, por la que se establecen las bases reguladoras para la concesión de subvenciones públicas mediante contratos programa para la formación de trabajadores, en desarrollo del Real Decreto 1046/2003, de 1 de agosto, por el que se regula el subsistema de formación profesional continua, en la modificación operada por la Orden TAS/2562/2005, de 28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