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4174-2006, promovido por ochenta y un Diputados del Grupo Parlamentario Popular del Congreso de los Diputados, contra el Real Decreto-ley 4/2006, de 24 de febrero, por el que se modifican las funciones de la Comisión Nacional de Energía. Ha intervenido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abril de 2006, tuvo entrada en el Registro General de este Tribunal escrito de don Ignacio Astarloa Huarte-Mendicoa, Diputado del Congreso y comisionado por ochenta Diputados del Grupo Parlamentario Popular, que interponía recurso de inconstitucionalidad contra el Real Decreto-ley 4/2006, de 24 de febrero, por el que se modifican las funciones de la Comisión Nacional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indicada la concurrencia de los requisitos formales relativos al planteamiento en plazo del recurso y a la legitimación de los recurrentes y después de exponer la regulación existente a la entrada en vigor del Real Decreto-ley 4/2006, se formulan los siguientes reproches de inconstitucionalidad a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impugna el Real Decreto-ley 4/2006 por vulnerar el art. 86.1 CE, al no existir una situación de extraordinaria y urgente necesidad que legitime al Gobierno para dictar aquél. Los recurrentes consideran que las razones que se exponen en la exposición de motivos no acreditan en los términos de la jurisprudencia constitucional la concurrencia de la situación de extraordinaria y urgente necesidad: para fundamentar la urgencia en dictar una norma que introduce reformas no es razón suficiente aducir que es urgente que sus destinatarios conozcan tales reformas. Tampoco es justificación suficiente la que aparece formulada en la memoria justificativa del Real Decreto-ley, “la conocida existencia de operaciones en curso y previsibles de profundo calado, con efectos que pueden resultar de difícil e imposible corrección”, pues tales operaciones no eran imprevisibles y se han planteado en distintas ocasiones en los últimos años. Y aunque hubiera situación de urgencia, no se aprecia la conexión o relación de adecuación entre tal situación y las medidas adoptadas por el Real Decreto-ley. Si una mejor garantía de la seguridad pública exige añadir nuevas causas por las que la Comisión Nacional de Energía puede condicionar o denegar una operación y tal cambio normativo es urgente debido a la existencia de operaciones en curso, no se entiende por qué el nuevo régimen, a tenor de la disposición transitoria única del Decreto-ley, no es de aplicación sin distinción alguna a todas las operaciones pendientes de ejecución y no solo a las no autorizadas. Finalmente, se señala que “el motivo real que ha determinado tal adopción es, con toda probabilidad, la voluntad del Gobierno de poner trabas a la OPA por el 100% del capital de ENDESA, S.A. presentada por la entidad alemana E.ON Zwölfte Verwaltungs GmbH, filial al 100 por ciento de la sociedad alemana E.ON, AG, (en adelante, ‘E.ON’) oferta competidora de la que con anterioridad había presentado por el mismo porcentaje de ENDESA, S.A. la sociedad española Gas Natural SDG, S.A. Ese motivo se hace explícito en la Memoria Justificativa del Real Decreto-Ley”, en los términos antes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impugna el párrafo segundo del apartado 1 de la disposición adicional undécima, 3.1.14 de la Ley 34/1998, de 7 de octubre, del sector de hidrocarburos, en la redacción dada por el artículo único del Real Decreto-ley 4/2006, por vulneración del derecho fundamental a la libertad de empresa (art. 38 CE). Dicho párrafo, que somete a autorización administrativa previa determinadas operaciones de adquisición que anteriormente estaban exentas, introduce una restricción al derecho fundamental, violando, por lo demás, lo dispuesto en los arts. 43 y 56 del Tratado constitutivo de la Comunidad Europea (TCE). Con arreglo a la jurisprudencia constitucional, la validez de las medidas restrictivas de la libertad de empresa está condicionada a que sean proporcionadas para la satisfacción de un fin constitucionalmente legítimo y que no exista una alternativa que sea menos restrictiva. Los recurrentes razonan que en el ordenamiento español existen otras medidas idóneas para satisfacer el señalado fin de seguridad pública que son menos restrictivas para la libertad de empresa. Con anterioridad al Real Decreto-ley 4/2006, tanto la Ley del sector eléctrico como la Ley del sector de hidrocarburos contenían previsiones tendentes a garantizar la existencia de abastecimiento mínimo de energía eléctrica y de productos petrolíferos, que eran menos restrictivas del derecho fundamental que la autorización ex ante impuesta por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impugna la disposición transitoria única del Real Decreto-ley por vulneración del principio de irretroactividad de las disposiciones restrictivas de los derechos individuales (art. 9.3 CE). La nueva exigencia de autorización administrativa para operaciones que hasta entonces no estaban sujetas a la misma constituye una disposición restrictiva del derecho fundamental a la libertad de empresa, sometida al principio de irretroactividad de las disposiciones restrictivas de los derechos individuales (art. 9.3 CE). La disposición transitoria única somete las operaciones planteadas y pendientes de ejecución en el momento de entrada en vigor del Real Decreto-ley a la necesidad de obtener la autorización de la Comisión Nacional de Energía. Tal régimen confiere alcance retroactivo a la extensión del ámbito objeto de aplicación de la función decimocuarta operado por el Real Decreto-ley, pues se aplica a operaciones ya iniciadas, que se pusieron en marcha durante la vigencia de un régimen jurídico que no contemplaba tal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impugna la disposición transitoria única del Real Decreto-ley por vulneración del principio de igualdad ante la ley (art. 14 CE). A juicio de los recurrentes, se dispensa un trato jurídico distinto a las entidades que pretendan realizar las operaciones en cuestión en función de que con anterioridad a la entrada en vigor del Real Decreto-ley hubieran obtenido o no la autorización de la Comisión Nacional de Energía al amparo del régimen anterior. Invocando diversa jurisprudencia constitucional, se alega que tal discriminación únicamente se ajustaría a la Constitución en la medida en que el criterio de diferenciación entre una y otra y las consecuencias jurídicas derivadas de la diferenciación fueran relevantes desde la perspectiva del fin perseguido por la norma en cuestión. Dicha circunstancia no se acreditaría en el presente caso, pues desde la perspectiva del fin del Real Decreto-ley 4/2006 —proteger los intereses generales de la política energética española y, en particular, la seguridad pública— es irrelevante que una operación hubiera obtenido una autorización anterior cuando ésta no tuvo en cuenta tales intereses. Tanto el criterio diferenciador como las consecuencias derivadas de su aplicación son incoherentes con el fin normativo, no guardan relación alguna y no son necesarios para satisfacer la finalidad de la norma. Frente a la conclusión anterior no cabe oponer la doctrina constitucional sobre la discriminación derivada de la sucesión normativa, pues se trata de operaciones que desde el punto temporal son idénticas, al hallarse planteadas en la fecha de entrada en vigor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y último lugar, se impugna la disposición transitoria única del Real Decreto-ley por vulneración del principio de seguridad jurídica (art. 9.3 CE). La conclusión de la vulneración del citado principio constitucional se fundamenta: a) en la inexistencia de intereses generales que justifiquen la aplicación retroactiva del Real Decreto-ley, pues el interés general de la seguridad jurídica, entendido como garantía del abastecimiento de productos petrolíferos y de electricidad, se encuentra ya suficientemente protegido por técnicas preexistentes en el ordenamiento español y menos restrictivas de los derechos afectados; b) en la imprevisibilidad de la reforma normativa establecida, pues va en contra de los pronunciamientos de la Comisión respecto a normas españolas similares y de la postura manifestada por el mismo Gobierno español autor del Real Decreto-ley en procedimientos legislativos tendentes a la eliminación de obstáculos a la libre circulación de capitales; c) en la trascendencia de las decisiones económicas adoptadas por los agentes económicos afectados, pues el simple planteamiento formal de una operación, aunque no se haya ejecutado todavía, entraña la realización de gastos de elevadísima cuantía y la manifestación pública de las orientaciones estratégicas de la compañía que plantea la 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mayo de 2006 la Sección Tercera de este Tribunal acordó admitir a trámite el recurso de inconstitucionalidad y dar traslado del mismo y de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el 26 de mayo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mayo de 2006 la Sección Tercera de este Tribunal acordó tener por personado al Abogado del Estado y, según interesaba, prorrogarle en ocho días el plazo concedido en el proveído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el 15 de junio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analizar los argumentos de la demanda, efectúa algunas precisiones previas. Por un lado, subraya que la nueva redacción de la disposición adicional undécima, 3.1.14 de la Ley 34/1998, de 7 de octubre, del sector de hidrocarburos (en adelante, función decimocuarta), introducida por el Real Decreto-ley, extiende el requisito de autorización, que ya se exigía cuando la sociedad adquirente realizara actividades reguladas, al caso en que sea la adquirida quien desarrolle tales actividades; define con mucha mayor precisión los casos en que la Comisión Nacional de Energía puede denegar o condicionar la autorización, especificando el objeto de la supervisión, aunque todos los nuevos motivos de denegación o condicionamiento eran perfectamente subsumibles en la amplia fórmula que existía previamente. Por otro lado, considera que la demanda presupone “el motivo real” determinante de la adopción del Real Decreto-ley sin añadir los necesarios razonamientos justificativos y elementos acreditativos de esa intencionalidad. La única finalidad que resulta del Real Decreto-ley, de su exposición de motivos y de la memoria justificativa es, según la representación procesal del Gobierno, la de que todas las operaciones de concentración en un sector tan relevante como el energético queden sometidas a la supervisión del organismo regulador y todo lo demás son suposiciones sin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Siguiendo el orden de las alegaciones de la demanda, en respuesta a la primera impugnación, comienza recordando la doctrina constitucional sobre la concurrencia de la extraordinaria y urgente necesidad habilitante del real decreto-ley: explicitación y razonamiento de la concurrencia de la situación de extraordinaria y urgente necesidad que se pretende afrontar con el instrumento normativo; valoración no abusiva o no arbitraria de la concurrencia del presupuesto; y relación directa o de congruencia entre la situación que constituye el presupuesto habilitante y las medidas que se adoptan en el Decreto-ley. Los tres requisitos se cumplen en el presente caso. Por lo que respecta al primer requisito, señala que la urgencia se refiere a la necesidad de poner fin a las insuficiencias advertidas en la regulación de la Ley 34/1988, de 7 de octubre, del sector de hidrocarburos, como se desprende de la exposición de motivos. Además, quizá la justificación más clara se encuentra en la memoria justificativa: “se requiere que las medidas propuestas sean adoptadas con carácter de extrema y urgente necesidad, habida cuenta de la conocida existencia de operaciones en curso y previsibles de profundo calado, con efectos que pueden resultar de difícil o imposible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requisito también se cumple por cuanto la calificación de la urgencia realizada por los órganos políticos no es manifiestamente arbitraria o abusiva. Los argumentos aducidos en contrario en la demanda son rechazados, porque, por un lado, las posturas de la Comisión o del Gobierno español sobre determinada cuestión nada aportan al análisis de la urgencia del Real Decreto-ley y, por otro, porque el Tribunal Constitucional no exige que las circunstancias que motivan el Real Decreto-ley sean totalmente imprevisibles, sino que basta con que “por razones difíciles de prever se requiera una acción normativa inmediata” (STC 329/2005, de 15 de diciembre), y las operaciones de concentración son sin duda difíciles de prever, pues se mantienen ocultas hasta el mismo momento en que se solicitan las correspondientes autorizaciones. Parece evidente que la realización de una importante operación de concentración empresarial en un sector tan vital como el energético, operación que eventualmente podría afectar a la regularidad del suministro, es una circunstancia económica difícil de prever y que exige una respuesta inmediata, máxime teniendo en cuenta que con la legislación vigente antes del Real Decreto-ley tal operación no estaba sometida a ningún tipo de supervisión por los organismos reguladores del mercado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único argumento de la demanda para rechazar el cumplimiento del tercer requisito, la relación directa o de congruencia entre la situación que constituye el presupuesto habilitante y las medidas que se adoptan en el Decreto-ley, es que la disposición transitoria única declara inaplicable la reforma a las operaciones ya autorizadas por la Comisión Nacional de Energía. La demanda discute la urgencia más que la congruencia de las medidas adoptadas con aquella urgencia, y su razonamiento es contradictorio con la alegación de vulneración del principio de irretroactividad de las disposiciones restrictivas de derechos individuales, pues si hubiera declarado aplicable la reforma a las operaciones ya supervisadas y autorizadas, entonces habría más razón para entender vulnerado dicho principio. Es el respeto a situaciones con un mayor grado de consolidación lo que determinó que los órganos políticos no sometieran a nueva autorización las operaciones ya supervisadas y no la valoración sobre la urgencia de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vulneración alegada del art. 38 CE relativo a la libertad de empresa, el Abogado del Estado señala que, como toda libertad, la de empresa se encuentra sometida a limitaciones, si bien estas han de ser proporcionadas y razonables. El propio art. 38 CE somete el derecho a dos límites: “las exigencias de la economía general y, en su caso, de la planificación”. Por otro lado, la libertad de empresa también estaría sujeta a las limitaciones derivadas de la función social de la propiedad (arts. 33 y 128 CE) o de la necesaria protección de consumidores y usuarios (art. 51 CE). El Real Decreto-ley viene a ampliar subjetivamente una autorización que ya se exigía antes y a especificar con mayor rigor el contenido de la supervisión, sin que la previsión hubiera suscitado ninguna duda de constitucionalidad antes de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necesaria interpretación del art. 38 CE conforme a los arts. 43 y 56 TCE, se afirma que el propio Derecho comunitario permite que las legislaciones nacionales establezcan limitaciones a tales libertades; que el Tribunal de Justicia ha declarado que una libertad fundamental comunitaria puede ser limitada mediante una normativa nacional, si se halla justificada por algunas de las causas previstas en el Tratado o por razones de imperioso interés general; y que la seguridad pública es causa legítima para establecer limitaciones a las libertades de establecimiento y circulación de capitales: la seguridad pública incluye las medidas necesarias para garantizar el suministro de productos o servicios esenciales, entre los que ocupan un lugar cualificado los energéticos. También se señala que la Comisión, en la petición de información dirigida al Reino de España en relación con el Decreto-ley, no cuestiona la posibilidad de adoptar medidas limitativas, sino simplemente la claridad de los motivos que permiten condicionar o denegar la autorización y el momento de la intervención administrativa, considerando que la supervisión ex post es más proporcional y menos restrictiva, reproches que, en su contestación, España considera infundados.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tocante a la proporcionalidad de la restricción, señala que el fin de las medidas recogidas en el Real Decreto-ley es el fin último de toda la legislación energética, garantizar un suministro suficiente y de calidad, y que si siempre se ha considerado proporcionada la previa supervisión por el órgano regulador de la adquisición de participaciones cuando el adquirente es una sociedad regulada, la misma consideración debe merecer la extensión del régimen a la adquisición de participaciones en sociedades reguladas. La supervisión de las operaciones de concentración en que el adquirido realice actividad regulada no sólo es proporcionada, sino imprescindible para garantizar que aquella no pueda afectar negativamente al suministro energético. El argumento definitivo a favor de su proporcionalidad es la forma en que se articula la limitación de acuerdo con lo previsto en el art. 18 del Real Decreto 1339/1999, de 31 de julio, regulador del procedimiento de autorización: tanto la brevedad del plazo máximo disponible por la Comisión Nacional de Energía para resolver expresamente (un mes), como el valor del silencio (positivo), acreditan que el mecanismo supervisor procura la menor incidencia posible en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alegación de la vulneración del principio de irretroactividad de las disposiciones restrictivas de los derechos individuales (art. 9.3 CE), el Abogado del Estado considera que está carente del necesario razonamiento justificativo. De acuerdo con la doctrina constitucional, sólo la retroactividad de grado máximo se encuentra afectada por la previsión del art. 9.3 CE, no en cambio la de grado medio, que habría que examinarse, en su caso, desde la perspectiva de su incidencia sobre la seguridad jurídica. Una operación de concentración en curso no es una situación cuyos efectos se hayan consumado: es una situación expectante que todavía no ha comenzado a producir efecto alguno. Además, el art. 9.3 CE sólo prohíbe la retroactividad de las disposiciones “restrictivas de derechos individuales”, y de una operación en curso no ha nacido ningún derecho individual que pueda resultar restringido por la nueva normativa. Si la Constitución no prohíbe una incidencia pro futuro en derechos adquiridos (STC 97/1990, de 24 de mayo, FJ 4), menos lo hará respecto de situaciones expectantes, futuras o pendientes de consolidación (STC 97/1990,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respecta a la alegación de vulneración del principio de igualdad, el Abogado del Estado afirma que se trata de un simple supuesto de sucesión normativa. Las situaciones que, de acuerdo con el Derecho transitorio, queden sometidas a la legislación derogada, naturalmente recibirán un tratamiento legal distinto al de las situaciones que se sujeten a la normativa que entra en vigor. El Tribunal Constitucional tiene declarado que en los casos de sucesión normativa estamos simplemente ante la aplicación de la ley en el tiempo, en la que el desigual tratamiento de los supuestos sometidos a uno u otro régimen es natural consecuencia de la libertad del legislador de configurar la realidad y de la “necesaria evolución del ordenamiento jurídico” (ATC 367/2003, de 13 de noviembre, FJ 5). En supuestos de sucesión normativa, lo relevante no es la desigualdad consustancial a todo proceso de reforma, sino que las normas transitorias definan el momento de aplicación de la nueva regulación sin incurrir en la arbitrariedad proscrita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demanda es incongruente al alegar una irretroactividad contraria al art. 9.3 CE y al tiempo exigir en otro punto argumental una mayor retroactividad de la misma norma. En cualquier caso, no existe discriminación constitucionalmente reprochable. No es válido el tertium comparationis que sugiere la demanda para justificar la discriminación. Las operaciones en curso que hayan obtenido una autorización de la Comisión Nacional de Energía no están en la misma situación que las que no hayan sido sometidas a supervisión por el organismo regulador y, por tanto, no hayan obtenido la oportuna autorización. Las operaciones autorizadas han sido sometidas a la supervisión del organismo regulador, garantizando la inexistencia de “riesgos significativos o efectos negativos, directos o indirectos, sobre las actividades reguladas”. Además, el otorgamiento, condicionado o no, de la autorización genera ciertas expectativas favorables al buen fin de la operación, con las importantes repercusiones económicas que tales expectativas provocan. Como en cualquier norma de derecho transitorio, el legislador ha de buscar el difícil equilibrio de intentar la más inmediata aplicación de la nueva normativa —que se introduce porque se considera beneficiosa y, por tanto, es lógico que se pretenda su pronta aplicación— y, al tiempo, no alcanzar irrazonablemente a situaciones que han adquirido un cierto grado de consolidación. El Real Decreto-ley, con el mejor criterio a juicio del Abogado del Estado, ha considerado que no era razonable ni proporcionado someter a nueva autorización operaciones ya supervisadas.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lo alegado por los recurrentes, la circunstancia de que una operación haya sido autorizada y sometida a la supervisión de la Comisión Nacional de Energía sí guarda relación con el sentido de la norma y no es arbitraria en el sentido de la STC 190/2005, de 7 de julio, FJ 4. Si una de las finalidades de la norma es garantizar la previa supervisión de todas las operaciones de concentración relativas a una entidad regulada, el hecho de que la operación se hubiera sometido ya a la previa autorización de la Comisión Nacional de Energía tiene una evidente conexión con la finalidad del Real Decreto-ley. La disposición transitoria única parte, por tanto, de un dato cierto y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en relación con la vulneración de la seguridad jurídica, el Abogado del Estado señala que el Tribunal Constitucional tiene declarado que, a diferencia de la retroactividad “auténtica o de grado máximo”, la retroactividad “impropia o de grado medio”, definida como la incidencia en “situaciones jurídicas actuales aún no concluidas”, no estaría sujeta a la prohibición del art. 9.3 CE, aunque podría tener relevancia constitucional desde la perspectiva de la protección de la seguridad jurídica (STC 182/1997, de 28 de octubre, FJ 11). Cuando la norma de retroactividad media fuera “absolutamente imprevisible”, “solo podría reputarse conforme con la Constitución si existieran claras exigencia de interés general que justificaran que el principio de seguridad jurídica que, insistimos, no es un valor absoluto, debería ceder ante otros bienes o valores constitucionalmente protegidos” [STC 182/1997, de 28 de octubre, FJ 13 a)]. Pues bien, el Abogado del Estado señala que, hasta cierto punto, parece razonable prever que, ante una operación de concentración, en un sector tan directamente relacionado con intereses vitales, el interés general impondría una reserva legal que sometiera la operación a la supervisión del organismo regulador. Y, en cualquier caso, aun aceptando la dificultad de previsión de la reforma, no cabe duda de que respecto de las operaciones en curso no sometidas a la supervisión del organismo regulador, existía un evidente interés público en que se verificara que la operación no ponía en peligro la seguridad pública, entendida como regularidad y calidad del suministro energético. En el difícil equilibro entre la seguridad jurídica y el interés público tutelado por el Real Decreto-ley, el legislador, con buen criterio, entendió que prevalecía el segundo respecto de las operaciones no supervisadas ni autorizadas, pues era precisa la intervención del organismo regulador que garantizara que no iban a afectar al suministro, mientras que, en cambio, en las operaciones ya autorizadas existía una suficiente garantía del interés público que hacía innecesario el sacrificio de la seguridad jurídica. Contra lo que argumenta la demanda, la posibilidad de analizar las operaciones autorizadas bajo el prisma, técnicamente más acabado, del nuevo listado de motivos de denegación o condicionamiento, es muy dudoso que pueda justificar el menoscabo de la seguridad jurídica, pues los nuevos motivos son únicamente especificación del genérico motivo que recogía la redacción originaria con el fin de fortalecer la seguridad jurídica, por lo que resultaría profundamente incongruente justificar el sacrificio de la seguridad jurídica con una aplicación retroactiva de una nueva regulación que viene precisamente a reforzarla.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12 de febrero de 2013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se interpone por ochenta y un Diputados del Grupo Parlamentario Popular en el Congreso de los Diputados, contra el Real Decreto-ley 4/2006, de 24 de febrero, por el que se modifican las funciones de la Comisión Nacional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inconstitucionalidad que fundamentan el recurso pueden agruparse en tres grupos: la vulneración del art. 86.1 CE por el Real Decreto-ley, la vulneración del derecho fundamental a la libertad de empresa (art. 38 CE) por el artículo único del Real Decreto-ley 4/2006 que da nueva redacción al párrafo segundo del apartado 1 de la disposición adicional undécima 3.1.14 de la Ley 34/1998, de 7 de octubre, del sector de hidrocarburos, y la vulneración de los principios de irretroactividad de las disposiciones restrictivas de los derechos individuales (art. 9.3 CE), de igualdad ante la ley (art. 14 CE) y de seguridad jurídica (art. 9.3 CE) por la disposición transitoria única del Real Decreto-ley 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propone la desestimación total del recurso, al entender que los preceptos impugnados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recurso que nos ocupa exige hacer una precisión previa sobre el impacto que en su objeto pueda haber tenido la aprobación de la Ley 2/2011, de 4 de marzo, de economía sostenible. El apartado cinco de la disposición final trigésima tercera de la Ley 2/2011 ha dado una nueva redacción a la función decimocuarta del punto 1 de apartado tercero de la disposición adicional undécima de la Ley 34/1998, de 7 de octubre, del sector de hidrocarburos. En consecuencia, la concreta redacción que el artículo único del Real Decreto-ley 4/2006 dio a la función decimocuarta del punto 1 del apartado tercero de la disposición adicional undécima de la Ley 34/1998, de 7 de octubre, del sector de hidrocarburos ha quedado derogada y, con ello, también el artículo único del Real Decreto-ley 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ha recordado la STC 1/2012, de 13 de enero, citando a su vez las SSTC 134/2004, de 22 de julio, y 68/2007, de 28 de marzo, es reiterada la doctrina constitucional que establece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este planteamiento de principio sobre el recurso de inconstitucionalidad, tal y como ha recordado la STC 124/2003, de 19 de junio, FJ 3, por tratarse de un “recurso abstracto y orientado a la depuración objetiva del ordenamiento”, determina que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De modo que, si bien carece de sentido, en el seno de un recurso de inconstitucionalidad, “pronunciarse sobre normas que el mismo legislador ha expulsado ya de dicho ordenamiento ... de modo total, sin ultraactividad” (SSTC 160/1987, de 27 de octubre, FJ 6; 150/1990, de 4 de octubre, FJ 8; y 385/1993, de 23 de diciembre, FJ 2), puede resultar útil y conveniente su enjuiciamiento, aun cuando hayan sido derogadas, para excluir “toda aplicación posterior de la disposición legal controvertida, privándola así del vestigio de vigencia que pudiera conservar” (SSTC 160/1987, de 27 de octubre, FJ 6; y 385/1993, de 23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lo que al recurso de inconstitucionalidad se refiere, la derogación formal o la sustitución del contenido de una disposición jurídica por otro tiene, como regla general, efecto extintivo del objeto. Esto es lo que ocurre en el presente proceso con el artículo único del Real Decreto-ley 4/2006. La regla general de la pérdida de objeto se ha de extender igualmente a la disposición transitoria única del Real Decreto-ley 4/2006: aunque no ha sido formalmente derogada, su única finalidad era establecer el momento inicial de la aplicación de una regulación que no existe en el momento de dictar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nuestra doctrina, la regla general de la pérdida de objeto consiente, sin embargo, por su propio fundamento, ciertas excepciones y, entre ellas, una que ahora interesa en consideración a la primera de las alegaciones en que se fundamenta el presente recurso de inconstitucionalidad. En efecto, en el recurso se cuestiona la legitimidad constitucional de la adopción de una norma de urgencia como el Real Decreto-ley 4/2006, por cuanto se habría incumplido el presupuesto de la “extraordinaria y urgente necesidad” justificativa de la aprobación de un decreto-ley. Constituye reiterada doctrina constitucional, recordada por la citada STC 1/2012, de 13 de enero, FJ 4 (con cita de las STC 155/2005, de 9 de junio, FJ 2; y 68/2007, de 28 de marzo, FJ 4)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En este mismo sentido hemos declarado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que, en todo caso, pervive el objeto del presente recurso por lo que hace a la alegación de vulneración del art. 86.1 CE por el Real Decreto-ley 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quedó reflejado en los antecedentes de esta resolución, los recurrentes sostienen que los preceptos adoptados, al ser aprobados bajo la forma de decreto-ley, vulneraron lo dispuesto en el art. 86.1 CE, por no concurrir la “extraordinaria y urgente necesidad” habilitante del uso de dicha facultad, dado que no puede justificarse su aprobación por ninguna de las razones apuntadas en su exposición de motivos o en la memoria justificativa, ni tampoco se aprecia la conexión o relación de adecuación entre tal situación y las medidas adoptadas por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sustancialmente, que la extraordinaria y urgente necesidad justificativa de la aprobación del Decreto-ley derivaría de la necesidad de poner fin a las insuficiencias advertidas en la regulación de la Ley 34/1988, de 7 de octubre, del sector de hidrocarburos, como se desprende de la exposición de motivos y tal como se expresa en la memoria justificativa, y que la calificación de la urgencia realizada por los órganos políticos no es manifiestamente arbitraria o abusiva. Considera que las operaciones de concentración son sin duda difíciles de prever, pues se mantienen ocultas hasta el mismo momento en que se solicitan las correspondientes autorizaciones, y que la realización de una importante operación de concentración empresarial en un sector tan vital como el energético, operación que eventualmente podría afectar a la regularidad del suministro, es una circunstancia económica difícil de prever y que exige una respuesta inmediata, máxime teniendo en cuenta que con la legislación vigente antes del Real Decreto-ley tal operación no estaba sometida a ningún tipo de supervisión por los organismos reguladores del mercado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acotado el problema constitucional, a la luz del art. 86.1 CE debemos acudir a la doctrina establecida por este Tribunal sobre el sentido y alcance del presupuesto legitimador de la extraordinaria y urgente necesidad. Dicha doctrina ha sido reiterada por la STC 68/2007, de 28 de marzo, y más recientemente por las SSTC 31/2011, de 17 de marzo, 137/2011, de 14 de septiembre, y 1/2012, de 13 de enero, con cita, entre otras, de las SSTC 182/1997, de 28 de octubre; 11/2002, de 17 de enero; 137/2003, de 3 de julio; 189/2005, de 7 de julio, FJ 3, y 329/2005, de 15 de diciembre, FJ 5. En estas Sentencias,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Ello quiere decir que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 Este Tribunal ha señalado asimismo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 También hemos de recordar que este Tribunal ha insistido en que el control jurídico de este requisito no debe suplantar a los órganos constitucionales que intervienen en la aprobación y convalidación de los reales decretos-leyes, sino que ha de apoyarse en una valoración de conjunto de las circunstancias que rodean al caso (STC 332/2005, de 15 de diciembre, FJ 5; y 31/2011,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por último, que la perspectiva desde la que ha de examinarse la concurrencia del presupuesto habilitante del art. 86.1 CE es “la del momento en que se aprueba el correspondiente decreto-ley, de manera que el presupuesto de la validez de dicha norma no queda alterado por datos o circunstancias posteriores que pudieran cuestionar la apreciación de la urgencia o de la necesidad afirmadas en aquel momento” (STC 1/2012, de 13 de enero, FJ 6). Asimismo, el examen de la concurrencia del presupuesto habilitante del art. 86.1 CE en la adopción de un decreto-ley es del todo independiente del control de la conformidad material con la Constitución de las disposiciones incluidas en la norma de urgencia y, tanto más, en cuanto que se sitúa extramuros de nuestra jurisdicción, del control de su conformidad material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arreglo a la doctrina que se acaba de recordar debemos comprobar ahora si en el Real Decreto-ley 4/2006 objeto del presente recurso de inconstitucionalidad concurre el presupuesto habilitante de la “extraordinaria y urgente necesidad” exigido por el art. 86.1 CE. Siguiendo la doctrina expuesta debemos por tanto analizar dos elementos: en primer lugar, la presentación explícita y razonada de los motivos que han sido tenidos en cuenta por el Gobierno en su aprobación (SSTC 29/1982, de 31 de mayo, FJ 3; 111/1983, de 2 de diciembre, FJ 5; 182/1997, de 20 de octubre, FJ 3; 137/2003, de 3 de julio, FJ 4; y 1/2012, de 13 de enero, FJ 7); en segundo lugar, la existencia de una necesaria conexión entre la situación de urgencia definida y la medida concreta adoptada para subvenir a ella (SSTC 29/1982, de 31 de mayo, FJ 3; 182/1997, de 20 de octubre, FJ 3; 137/2003, de 3 de julio, FJ 4; y 1/2012, de 13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primer lugar, a analizar los motivos explicitados por el Gobierno para la aprobación del Real Decreto-ley 4/2006, debemos acudir a la exposición de motivos de la norma, al debate parlamentario de convalidación y, en su caso, al expediente de elaboración de la norma (por todas, STC 1/2012,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del Real Decreto-ley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tendencias de concentración empresarial en los mercados energéticos mundiales y europeos han puesto de relieve determinadas insuficiencias en la legislación vigente. Insuficiencias que tienen al menos una doble faceta: por una parte, no se contemplan todos los intereses cuya protección por los poderes públicos parece conveniente; por otra, no somete a simétrica consideración las operaciones cualquiera que sea el agente promotor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conforme a la legislación vigente, no resulta posible examinar en todos los supuestos la adquisición del control de unas empresas por otras, en la medida que afecten a intereses generales de la política energética española y, en particular, a la seguridad pública. Además, mientras que en su actual redacción la función Decimocuarta de la Comisión Nacional de Energía, regulada en la Disposición Adicional Undécima.Tercero.1 de la Ley 34/1998, de 7 de octubre, del Sector de Hidrocarburos, condiciona a la autorización de la Comisión Nacional de Energía la toma de participación por sociedades con actividades reguladas en cualquier entidad que realice actividades de naturaleza mercantil, no establece la misma previsión cuando la sociedad objeto de la participación realiza actividades reguladas pero no la sociedad que pretende dicha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corrección de ambas insuficiencias, que requiere una disposición con rango de ley, adquiere carácter de extrema y urgente necesidad, por cuanto que es necesario establecer sin dilación las características de la nueva regulación, de manera que los agentes económicos dispongan de unas perspectivas claras del marco jurídico en el que ejercitar sus opciones empresariales o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literalidad de la exposición de motivos del Real Decreto-ley se desprende que la justificación de la aprobación del mismo en el marco del art. 86.1 se concreta en la necesidad de corregir dos concretas “insuficiencias” que el Gobierno aprecia en la legislación entonces vigente en relación con la regulación de la potestad de supervisión de las operaciones de concentración en el sector energético: por un lado, la insuficiente precisión legal de los intereses cuya protección por los poderes públicos parece conveniente en los supuestos de adquisición del control de unas empresas por otras; por otro, la falta de previsión legal de la autorización de la Comisión Nacional de Energía de la toma de participación en una sociedad que realice actividades reguladas por una sociedad que no las realice.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convalidación del Real Decreto-ley, en la defensa del texto ofrecida por el Ministro de Industria, Turismo y Comercio, en nombre del Gobierno, ante el Pleno del Congreso de los Diputados (Cortes Generales, “Diario de Sesiones del Congreso de los Diputados”, Pleno y Diputación Permanente, VIII Legislatura, Año 2006, núm. 163, sesión plenaria núm. 152 del 23 de marzo de 2006, págs. 8121 a 8123), se afirma, entre otras cosas,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española para las tomas de participación de empresas en el sector energético se ha venido manteniendo en el tiempo en unos mercados europeos y mundiales en los que las concentraciones empresariales tienen una tendencia creciente, concentraciones que han puesto de manifiesto las limitaciones de la actual legislación para la protección por los poderes públicos de los intereses cuya salvaguarda tiene encomendados. Por tanto, el Real Decreto-ley 4/2006 está originado por una clara insuficiencia de la legislación vigente que presenta al menos dos aspectos fundamentales. En primer lugar, con la actual legislación no resulta posible examinar en todas sus facetas los efectos derivados de la adquisición del control de unas empresas por otras en el sector energético; al menos no en todos los supuestos que afectan a los intereses generales de la política energética española y en particular a la seguridad pública. En segundo lugar, mientras que en su redacción actual la función decimocuarta de la Comisión Nacional de Energía condiciona a la autorización de la comisión la toma de participaciones por sociedades con actividades reguladas en cualquier entidad que realice actividades de naturaleza mercantil, no se establece la misma previsión cuando la sociedad objeto de la toma de participación realiza actividades reguladas pero no lo hace la sociedad que pretende dicha participación. Es decir, hasta este real decreto-ley el criterio que determinaba si una operación de toma de participación empresarial debe ser o no objeto de autorización por la Comisión Nacional de Energía se basaba en la naturaleza regulada de las actividades de la empresa que pretendía adquirir la participación y en el sector en el que esta opera, y no en las características de la sociedad objeto de la toma de participación. Esto ha puesto en evidencia una clara insuficiencia en la legislación, ya que una operación como por ejemplo una oferta pública de adquisición de acciones sobre una gran compañía energética solo debía ser analizada por la Comisión Nacional de Energía si era iniciada por otra compañía del sector energético español que realizase actividades reguladas, pero si tal operación de adquisición procediese de una empresa, por ejemplo, del sector textil o de otra con actividades en cualquier otro sector de otro país, no tendría que someterse a este procedimiento de autorización por la Comisión Nacional de Energía, cuyo objeto consiste en garantizar el adecuado funcionamiento del sistema energético regulado de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el Ministro de Industria, Turismo y Comercio añadió otras dos consideraciones: por un lado, que “la entrada en vigor del nuevo régimen legal debe ser inmediata, ya que es condición necesaria para que los agentes económicos dispongan de perspectivas claras sobre el marco en el que actuar y no soporten las distorsiones asociadas al plazo necesario para la aprobación en este caso de un proyecto de ley”; por otro, que “resultaba discriminatorio someter a autorización la adquisición de participaciones únicamente cuando era realizada por una empresa que, a su vez, realizase actividades reguladas. Por ello, se ha considerado coherente con el sistema vigente ampliar su ámbito subjetivo; al mismo tiempo, se ha considerado conveniente ampliar el ámbito de aplicación de la autorización a las empresas que se encuentran en determinadas relaciones de sujeción especial, por la particular naturaleza de ésta y por su trascendencia para el mantenimiento de los objetivos de política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completar el análisis de los motivos alegados por el Gobierno, procede traer a colación la memoria justificativa del proyecto de real decreto-ley por el que se modifican las funciones de la Comisión Nacional de Energía, en tanto que dicho dictamen constituye un trámite sustancial del procedimiento de elaboración de la norma impugnada. En dicha memoria justificativa se fundamentó la necesidad de la modificación legislativa mediante real decreto-ley en tres razones: “En primer lugar porque se pretende modificar una disposición con rango de ley. En segundo lugar, porque se requiere que las medidas propuestas sean adoptadas con carácter de extrema y urgente necesidad, habida cuenta de la conocida existencia de operaciones en curso y previsibles de profundo calado, con efectos que pueden resultar de difícil e imposible corrección. En tercer lugar, porque es necesario también establecer sin dilación las características de la nueva regulación, de manera que los agentes económicos dispongan de unas perspectivas claras del marco jurídico en el que ejercitar sus opciones empresariales o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expuestos los motivos aducidos por el Gobierno en el propio Real Decreto-ley, en su proceso de convalidación y en el procedimiento de elaboración de la norma, podemos entrar a analizar su pertinencia. En el presente recurso se suscitan dos objeciones desde la perspectiva del art. 86.1 CE. La primera plantea la necesidad y urgencia de la adopción del Real Decreto-ley impugnado. La segunda objeción rechaza la relación de adecuación entre la situación de extraordinaria y urgente necesidad alegada por el Gobierno y las medidas incluidas a tal efecto en el Real Decreto-ley, en cuanto que, para una mejor garantía de la seguridad pública, que es la finalidad principal aducida por el Gobierno, el nuevo régimen debería haber sido aplicable sin distinción alguna a todas las operaciones pendientes de ejecución y no solo a las no autorizadas.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respecta a la primera objeción, cabe recordar que, en diversos momentos, el Gobierno ha alegado expresamente tres circunstancias concretas para fundamentar el recurso al decreto-ley: la insuficiencia de la vigente regulación legal en materia de operaciones de concentración en el sector energético, la necesidad de proporcionar a los agentes económicos “unas perspectivas claras del marco jurídico en el que ejercitar sus opciones empresariales o financieras”, y “la conocida existencia de operaciones en curso y previsibles de profundo calado, con efectos que pueden resultar de difícil e imposible corrección”. Los recurrentes se han limitado a razonar explícitamente su rechazo a la pertinencia de dos de esas tres circunstancias. Pues bien, sólo parcialmente podemos compartir esos argumentos. Ciertamente la urgencia de una modificación legislativa no se puede fundamentar en la urgencia de que sus destinatarios conozcan tales reformas. En cambio, con arreglo a nuestra doctrina no podemos aceptar el argumento de que las operaciones de concentración en el sector energético no eran imprevisibles o se habían planteado en otras ocasiones en los años anteriores, pues “la valoración de la extraordinaria y urgente necesidad de una medida puede ser independiente de su imprevisibilidad e, incluso, de que tenga su origen en la previa inactividad del propio Gobierno” (STC 1/2012, de 13 de enero, FJ 6). En consecuencia, debemos considerar que la situación de extraordinaria y urgente necesidad que el Gobierno quería abordar mediante la aprobación del decreto-ley objeto del presente proceso constitucional está configurada por la concurrencia de una doble circunstancia: la apreciación, por un lado, de un déficit de regulación legal en materia de operaciones de concentración en el sector energético y la constatación, por otro, de la existencia de importantes operaciones de concentración en curso en dicho sector. En concreto el déficit o laguna normativa se concretaba según el Gobierno en la asimetría existente, desde la perspectiva de la necesidad de una autorización administrativa previa, entre dos tipos de operaciones de concentración en el sector energético. Mientras que la adquisición de participaciones realizada por sociedades que desarrollaran actividades que tuvieran la consideración de reguladas o actividades que estuvieran sujetas a una intervención administrativa que implicara una relación de sujeción especial estaban sujetas a autorización administrativa, no lo estaba en cambio la adquisición de participaciones en esas mismas sociedades por otros sujetos, esto es, por sociedades que no desarrollaran actividades reguladas o que no estuvieran sujetas a una intervención administrativa. A esa asimetría o disparidad de criterios legales se conecta la otra circunstancia alegada por el Gobierno de “la conocida existencia de operaciones en curso y previsibles de profundo calado, con efectos que pueden resultar de difícil e imposible corrección”, lo que implícitamente apela al carácter acuciante y urgente que, según el Gobierno, revestía la intervención legislativa en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ha reconocido recientemente la relevancia, desde la perspectiva del art. 86.1 CE, de la ordenación de los procesos que se desarrollan en el sector energético (SSTC 170/2012, de 4 de octubre, FJ 6; y 233/2012, de 13 de diciembre, FJ 2). Así, en la STC 170/2012, FJ 6, consideramos, con relación a la concurrencia del presupuesto habilitante en la adopción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Si bien este pronunciamiento se realizó con relación a unas disposiciones cuya finalidad era la liberalización de las actividades en el subsector del petróleo, el mismo criterio debe valer con respecto a la introducción de disposiciones de signo contrario, como sucede en el presente caso, en el cual las medidas incluidas en el Real Decreto-ley 4/2006 se dirigen a extender la autorización administrativa a ciertas operaciones de concentración que previamente no la necesitaban así como a precisar las causas legales de denegación o de condicionamiento de dichas autorizaciones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conforme a nuestra doctrina, recapitulada en el fundamento jurídico 5 de esta Sentencia, debemos declarar que la definición por los órganos políticos de la situación de extraordinaria y urgente necesidad resulta explícita y razonada, por lo que, no constituyendo un supuesto de uso abusivo o arbitrario de la potestad normativa excepcional conferida al Gobierno, debemos concluir que concurre el presupuesto habilitante de la extraordinaria y urgente necesidad requerido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otra objeción planteada por los recurrentes se refiere en realidad al segundo elemento a analizar por este Tribunal en la tarea de control del presupuesto habilitante del art. 86.1 CE, esto es, la conexión entre la situación de urgencia definida y las medidas concretas adoptadas para afrontarla, que figuran en la disposición impugnada. Los recurrentes descartan la conexión de sentido entre la situación de urgencia y las medidas concretas adoptadas para afrontarla, arguyendo que, para una mejor garantía de la seguridad pública, el nuevo régimen debería haber sido aplicable sin distinción alguna a la totalidad de las operaciones pendientes de ejecución y no solo a las no autorizadas. Este argumento no puede acogerse. La discrepancia con respecto a las concretas medidas adoptadas por el Gobierno para afrontar la situación de urgencia por él definida no es motivo suficiente para fundamentar la inconstitucionalidad de la utilización del decreto-ley; como tampoco puede serlo la consideración de que existirían medidas tanto o más adecuadas o efectivas para la consecución de los propios objetivos gubernamentales. Por esta razón, tampoco tenemos que analizar si, como alega el Abogado del Estado, las medidas que, como contraste, nos proponen los recurrentes podrían plantear problemas desde la perspectiva del principio de irretroactividad. Desde la perspectiva del art. 86.1 CE nuestro control se debe ceñir a verificar si las concretas medidas incluidas en el decreto-ley adoptado presentan la inexcusable conexión de sentido con la situación de urgencia definida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afirmado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señalado, la situación de extraordinaria y urgente necesidad que habilitaba al Gobierno para aprobar el decreto-ley estaba configurada por la concurrencia de una doble circunstancia: la apreciación de un déficit de regulación legal en materia de operaciones de concentración en el sector energético y la constatación de la existencia de importantes operaciones de concentración en curso en dicho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 las medidas previstas por el Decreto-ley, cabe recordar que se trata de modificaciones que daban nueva redacción a la disposición adicional undécima, 3.1.14 de la Ley 34/1998, de 7 de octubre, del sector de hidrocarburos. Tales modificaciones consistían, por una parte, en la sujeción a autorización administrativa de la adquisición de participaciones en un porcentaje superior a un diez por ciento del capital social o cualquier otro que conceda influencia significativa en una sociedad que, por sí o por medio de otras que pertenezcan a su grupo de sociedades, desarrolle alguna de las actividades que tengan la consideración de reguladas o actividades que estén sujetas a una intervención administrativa que implique una relación de sujeción especial por cualquier sujeto, y no solo —como hasta entonces— de las adquisiciones realizadas por sociedades que desarrollaran actividades que tuvieran la consideración de reguladas o actividades que estuvieran sujetas a una intervención administrativa que implicara una relación de sujeción especial; y, por otra parte, en la mayor precisión introducida en la regulación legal de las causas que facultaban al órgano competente para denegar o someter a condiciones las autorizaciones de esas adquisiciones, sin que sea necesario a los efectos del presente proceso constitucional descender al detalle de la regulación legal de esas concretas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estructura de las disposiciones incluidas en el Decreto-ley, las disposiciones que establecían la sujeción a autorización administrativa de las adquisiciones por cualquier sujeto (y no sólo, como hasta entonces, por sociedades que desarrollaran actividades reguladas) de participaciones en sociedades que realizaran actividades reguladas y la nueva regulación de las causas de denegación o de condicionamiento de las autorizaciones, estaban dotadas de eficacia inmediata y modificaban por tanto de manera instantánea la situación jurídica existente, por cuanto que no sólo entraban en vigor el mismo día de su publicación en el “Boletín Oficial del Estado” (disposición final segunda del Real Decreto-ley 4/2006) sino que se aplicaban incluso a las operaciones pendientes de ejecución (disposición transitoria única del Real Decreto-ley 4/2006).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los dos criterios señalados, el contenido y la estructura de las disposiciones incluidas en el decreto-ley controvertido, debemos rechazar en suma la segunda objeción alegada por los recurrentes desde la perspectiva del art. 86.1 CE. Las medidas incluidas en el Decreto-ley no carecen en efecto de conexión de sentido con la situación de extraordinaria y urgente necesidad definida por el Gobierno, pues, por un lado, eran idóneas para remediar las insuficiencias de la regulación legal en materia de operaciones de concentración en el sector energético apreciadas por el Gobierno y, por otro lado, tenían incidencia inmediata en ese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Hemos de concluir, por todo lo señalado, que, en el caso del Real Decreto-ley 4/2006 objeto del presente proceso constitucional, el Gobierno ha aportado justificación suficiente que permita apreciar la existencia de la situación habilitante requerida por el art. 86.1 CE, y que las medidas incluidas en dicho decreto-ley no carecen de conexión de sentido con respecto a la situación de urgencia definida por aquél.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La extinción del recurso por desaparición sobrevenida del objeto respecto del artículo único y la disposición transitoria única del Real Decreto-ley 4/2006, de 24 de febrero, por el que se modifican las funciones de la Comisión Nacional de Energía.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