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6163-2010, promovido por don Carlos Artigas Nicolás, representado por el Procurador de los Tribunales don Eduardo Codes Pérez Andújar y asistido por el Abogado don Fernando Arribas Hernáez, contra la Sentencia de la Sala de lo Social del Tribunal Superior de Justicia de Cataluña, de 6 de julio de 2010, que resuelve el recurso de suplicación núm. 4137-2009 formulado frente a la Sentencia del Juzgado de lo Social núm. 3 de Gerona, de 23 de marzo de 2009, dictada en los autos núm. 445-2008 sobre Seguridad Social. Han sido parte Activa Mutua 2008, Mutua de Accidentes de Trabajo y Enfermedades Profesionales de la Seguridad Social núm. 3, representada por el Procurador de los Tribunales don Noel-Alain de Dorremochea Guiot y asistida por el Abogado don Rafael Somalo Moreno y el Instituto Nacional de la Seguridad Social, asistido y representado por el Letrado de la Administración de la Seguridad Social. Ha intervenido el Ministerio Fiscal.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diciembre de 2010, el Procurador de los Tribunales don Eduardo Codes Pérez Andújar, en representación de don Carlos Artigas Nicolás,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solicitó con fecha de 10 de enero de 2008 pensión de viudedad como consecuencia del fallecimiento de don Francisco Galve Mallen, acaecido el día 15 de diciembre de 2004, con el que había convivido maritalmente durante diecinueve años. La pareja de hecho se formalizó mediante escritura pública con fecha de 19 de julio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la Dirección Provincial de Girona del Instituto Nacional de la Seguridad Social (INSS) de 15 de febrero de 2008 se denegó la pensión de viudedad solicitada por “no haber tenido hijos comunes con el causante fallecido antes del 01/01/2008”, lo que dio lugar, tras la desestimación de reclamación previa, a la interposición de demanda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del Juzgado de lo Social núm. 3 de Girona, de 23 de marzo de 2009, se estimó la demanda declarando el derecho del actor a la pensión de viudedad reclamada, al apreciar que la exigencia de tener hijos comunes prevista en la disposición adicional tercera c) de la Ley 40/2007, de 4 de diciembre, de medidas en materia de Seguridad Social, vulneraba el art. 14 CE en tanto que suponía una discriminación por razón de la orientación sexual, ya que tal norma imponía un requisito, que aunque teóricamente neutral, dejaba de serlo en el caso de las parejas de hecho homosexuales, y especialmente, en las masculinas, que ni podían tener hijos biológicos en común, ni pudieron adoptarlos hasta la aprobación de la Ley del Parlamento de Cataluña 3/2005, de 8 de abril, en materia de adopción y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citada resolución fue revocada como consecuencia de la formulación por Mutua FIMAC y el INSS de recurso de suplicación, por medio de Sentencia de la Sala de lo Social del Tribunal Superior de Justicia de Cataluña, de 6 de julio de 2010, que consideró que la disposición adicional controvertida no suponía una desigualdad de trato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que la Sentencia del Tribunal Superior de Justicia impugnada vulnera el art. 14 CE en tanto que la disposición adicional tercera c) de la Ley 40/2007, de 4 de diciembre, de medidas en materia de Seguridad Social (en adelante, Ley 40/2007) , en virtud de la cual desestima su pretensión de percepción de pensión de viudedad, le impone un requisito (tener hijos en común con el causante de la pensión) de imposible cumplimiento en la fecha del fallecimiento, ya que, además de no poder tener hijos biológicos, a las parejas homosexuales les estaba vedada entonces la posibilidad de adopción (lo que fue posible con la entrada en vigor de la Ley catalana 3/2005, de 8 de abril). En virtud de esta imposibilidad, se sostiene que un requisito que en apariencia es neutral resulta, sin embargo, discriminatorio por razón de orientación sexual y contrario al principio de igualdad del art. 14 CE. En definitiva, indica que las consecuencias jurídicas que de la norma discutida se deriva son totalmente gravosas y desmedidas para esa parte y carecen de fundamento objetivo y razonable. Asimismo, se aduce que el recurso planteado tendría la especial trascendencia constitucional exigida por el art. 49.1 in fine de la Ley Orgánica del Tribunal Constitucional (LOTC) en tanto que la lesión que se alega provendría de la propia norma y se estaría planteando un problema sobre el que no hay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15 de septiembre de 2011 se acordó la admisión a trámite del recurso de amparo y, en aplicación del art. 51 de la Ley Orgánica del Tribunal Constitucional, dirigir comunicación a la Sala de lo Social para que remitiese copia de las actuaciones correspondientes al recurso de suplicación núm. 4137-2009, así como al Juzgado de lo Social núm. 3 de Gerona, a fin de que hiciera lo propio con las actuaciones correspondientes al procedimiento núm. 445-2008 y emplazase a quienes hubieran sido parte en el procedimiento de amparo, excepto la parte recurrente en amparo, para que pudiesen comparecer en el mismo si lo estimasen conveniente dentro del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con fecha de registro de 3 de octubre de 2011, el Procurador de los Tribunales Noel-Alain de Dorremochea Guiot, se persona en el procedimiento en nombre y representación de Activa Mutua 2008, Mutua de accidentes de trabajo y enfermedades profesionales de la Seguridad Social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con fecha de registro de 6 de octubre de 2011, el Letrado de la Administración de la Seguridad Social se persona en el procedimiento en nombre y representación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este Tribunal, de fecha 20 de febrero de 2012, se acordó tener por personado y parte en el procedimiento al Procurador don Noel-Alain de Dorremochea Guiot, en nombre y representación de Activa Mutua 2008, Mutua de accidentes de trabajo y enfermedades profesionales de la Seguridad Social núm. 3, y al Letrado de la Seguridad Social, en nombre del INSS, acordándose entender con ellos las sucesivas actuaciones, condicionando tal decisión a que ambos Procuradores acreditaran debidamente su representación. Así mismo, se acordó dar vista de las actuaciones recibidas a las partes personadas y al Ministerio Fiscal por plazo común de veinte días para que pudiesen formular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con fecha de registro de 11 de noviembre de 2011 la representación procesal del INSS, atendiendo al requerimiento realizado en la anterior diligencia, presenta escrito acreditando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 fecha de registro de 15 de noviembre de 2011, la representación procesal del recurrente en amparo se ratifica íntegramente en las alegaciones realizadas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registro de 29 de noviembre de 2011, la representación procesal del INSS presenta escrito de alegaciones en el que interesa la desestimación del recurso de amparo al considerar que la disposición adicional discutida no contraviene el art. 14 CE, teniendo en cuenta que este precepto no impide el distinto tratamiento temporal de situaciones iguales motivado por la sucesión normativa y que la norma afecta tanto a parejas homosexuales como heterosexuales que no han tenido hijos, puesto que lo protegido por el legislador es la pareja con prole y no el cónyuge superviviente.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con fecha de registro de 29 de noviembre de 2011, la representación procesal de Activa Mutua 2008, Mutua de accidentes de trabajo y enfermedades profesionales de la Seguridad Social núm. 3, interesa la desestimación del recurso de amparo planteado al considerar que no se ha producido la vulneración del derecho a la igualdad (art. 14 CE). Por escrito de esa misma fecha, la representación procesal presenta también escrito cumpliendo el requerimiento realizado por la providencia de 20 de octubre de 2011, acompañando la escritura de poder acreditativo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con fecha de registro de 2 de diciembre de 2011 presenta sus alegaciones el Ministerio Fiscal, interesando el otorgamiento del amparo solicitado sobre la base de que se habría producido una vulneración del derecho a la igualdad en el caso de autos debido a la inaplicación por parte de la resolución judicial impugnada de la disposición adicional décima de la Ley 30/1981, de 7 de julio, por la que se modifica la regulación del matrimonio en el Código civil y se determina el procedimiento a seguir en las causas de nulidad, separación y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12 de diciembre de 2011 se hizo constar la presentación de los escritos de alegaciones anteriormente apuntados, quedando el recurso de amparo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marzo de 2013, se señaló para votación y fallo de la Sentencia el día 11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quedo expuesto en los antecedentes, el recurrente en amparo solicitó pensión de viudedad en virtud de la disposición adicional tercera de la Ley 40/2007, de 4 de diciembre, de medidas en materia de Seguridad Social, que reconoce la pensión de viudedad a parejas de hecho en las que el fallecimiento del causante se produjo antes de la entrada en vigor de esa Ley, cuando se cumpliesen determinados requisitos, entre ellos, “que el causante y el beneficiario hubieran tenido hijos en común” [apartado c)]. La solicitud fue rechazada por el Instituto Nacional de la Seguridad Social por incumplirse esta última exigencia, decisión que fue confirmada en suplicación por la Sentencia de la Sala de lo Social del Tribunal Superior de Justicia de Cataluña, de 6 de julio de 2010, que es la resolución judicial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formulación de su recurso de amparo, el recurrente imputa a la Sentencia de la Sala de lo Social la vulneración del art. 14 CE por considerar que la exigencia del apartado c) de la referida disposición adicional vulnera el derecho a la igualdad y a la no discriminación por orientación sexual, al exigírsele un requisito de imposible cumplimiento en la fecha del fallecimiento del causante, ya que, además de no haber podido tener hijos biológicos al tratarse de una pareja homosexual, no les fue posible la adopción hasta la entrada en vigor de la Ley catalana 3/2005,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en los términos expuestos, la respuesta ha de ser forzosamente concisa e inequívoca a la luz de nuestra reciente STC 41/2013, de 14 de febrero, por la que el Pleno de este Tribunal ha resuelto la cuestión de inconstitucionalidad planteada por el Juzgado de lo Social núm. 33 de Barcelona respecto al apartado c) de la disposición adicional tercera de la Ley 40/2007, declarándola inconstitucional y nula. Ciertamente, en ella hemos declarado que el requisito contenido en la letra c) de la disposición cuestionada, constituye una directa vulneración del principio de igualdad ante la ley (art. 14 CE), pues la diferencia de trato que se establece entre parejas de hecho, en razón a que hubieran tenido o no hijos en común, no sólo no obedece a ninguna razón objetivamente justificada, relacionada con la propia esencia, fundamento o finalidad de la pensión de viudedad especial que regula, sino que conduce a un resultado desproporcionado, al impedir injustificadamente a determinados supérstites de parejas de hecho el acceso a la protección dispensada mediante dicha pensión, por ser de imposible cumplimiento (por razones biológicas y jurídicas), la exigencia de haber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hay sino que reiterar la doctrina expuesta en la citada Sentencia y sentar la misma conclusión, reconociendo al recurrente en amparo la vulneración del derecho a la igualdad ante la ley (art. 14 CE) que denuncia, lo que conduce a la estimación del recurso de amparo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Carlos Artigas Nicolás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igualdad ante la ley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Sala de lo Social del Tribunal Superior de Justicia de Cataluña, de 6 de julio de 2010, dictada en el recurso de suplicación núm. 4137-2009, en proceso sobre Seguridad Social, declarando la firmeza de la Sentencia dictada por el Juzgado de lo Social núm. 3 de Gerona, de 23 de marzo de 2009, en autos núm. 445-2008.</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