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mayo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14 de junio de 2012, la Procuradora de los Tribunales doña Delia Villalonga Vicens, en nombre y representación de doña María Pilar Horcajada de Lamo, interpuso demanda de amparo contra Auto de la Sección Primera de la Sala de lo Contencioso-Administrativo del Tribunal Supremo recaído en recurso de casación núm. 4727-2011, contra Sentencia dictada por la Sala de lo Contencioso-Administrativo de la Audiencia Nacional en recurso núm. 265-2010.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11 de septiembre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3626-2012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ocho de mayo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