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14 de febrero de 2012 tuvo entrada, en el Registro General de este Tribunal, escrito del Juzgado de lo Contencioso-Administrativo núm. 1 de Santander al que se acompañan las actuaciones recaídas en el procedimiento de ejecución 335-2002 y el Auto del mismo órgano, de 23 de enero de 2012, por el que se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28 de noviembre de 2000 del mismo órgano promotor de la presente cuestión, recaída en el procedimiento ordinario 184-1999, se estimó el recurso contencioso-administrativo interpuesto por la Asociación para la defensa de los recursos naturales de Cantabria (ARCA) contra el acuerdo de la comisión de Gobierno del Ayuntamiento de Argoños, de 17 de abril 1997, por el que se concedió licencia para la construcción de una viviendas unifamiliar en el residencial Las Llamas. La Sentencia disponía la anulación del acto administrativo referido así como la demolición de lo indebidamente construido a su amparo, básicamente, por contravención de lo prevenido en el art. 138 del texto refundido de la Ley del suelo, en relación con la no preservación del valor paisajístico de la zona donde se había concedido licencia de edificación. La resolución fue confirmada en apelación por Sentencia de la Sala de lo Contencioso-Administrativo del Tribunal Superior de Justicia de Cantabria, de 10 de mayo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la recurrente se ordenó la misma con el consiguiente derribo de lo ilegalmente construido. Mediante Auto del órgano sentenciador de 7 de noviembre de 2002 (confirmado en apelación por Sentencia de la Sala de lo Contencioso-Administrativo del Tribunal Superior de Justicia de Cantabria, de 6 de febrero) se requirió a la Administración condenada para la inmediata ejecución de la Sentencia. Posteriormente, con fecha de 1 de septiembre de 2003, se dictó Auto por el mismo juzgador mediante el que se inadmitía el incidente de planteado por la Administración demandada, en razón de su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distintas vicisitudes procesales, la representación procesal del Ayuntamiento de Argoños presentó escrito solicitando la incoación del oportuno incidente al amparo del art. 109 de la Ley reguladora de la jurisdicción contencioso-administrativa con el objeto de que se suspendiera la ejecución de la Sentencia de 21 de noviembre de 2000 en tanto no se procediera a la indemnización de los propietarios de las viviendas sujetas a demolición. La solicitud traía causa de la aprobación de la Ley del Parlamento de Cantabria 2/2011, de 4 de abril, por la que se modifica la Ley 2/2001, de 25 de junio, de ordenación territorial y régimen urbanístico del suelo en Cantabria,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14 de noviembre de 2011, el Juzgado de lo Contencioso-Administrativo núm. 1 de Santander acordó oír a las partes y al Ministerio Fiscal por el término común de diez días sobre la pertinencia de plantear cuestión de inconstitucionalidad, o sobre el fondo de la misma, respecto a la disposición adicional sexta de la Ley del Parlamento de Cantabria 2/2001, de 25 de junio, de ordenación territorial y del régimen urbanístico del suelo de Cantabria, introducida por el artículo 2 de la Ley de Cantabria 2/2011, de 4 de abril,, por si pudiera concurrir “vicio de inconstitucionalidad por infracción de los arts. 149.1.6 y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Únicamente evacuó trámite de alegaciones el Ministerio Fiscal, mostrándose favorable a la interposición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el Auto de 23 de enero de 2012 planteando la cuestión de inconstitucionalidad en relación con: “la disposición adicional sexta de la Ley de Cantabria 2/2011, de 4 de abril, por la que se modifica la Ley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 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en especial en relación con el procedimiento de ejecución (335-2002) de la Sentencia, inicia el Auto sus razonamientos jurídicos señalando que se solita la suspensión de la ejecución de la sentencia recaída en el recurso contencioso-administrativo procedimiento ordinario 184-1999 en tanto en cuanto se tramita el procedimiento de indemnización previsto en la disposición adicional sexta de la Ley del Parlamento de Cantabria 2/2001, de 25 de junio, de ordenación territorial y del régimen urbanístico del suelo de Cantabria, introducida por el artículo 2 de la Ley del Parlamento de Cantabria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que ha intentado realizar una interpretación conforme a la Constitución del precepto cuestionado, en orden a determinar si en realidad su tenor se aplica únicamente al régimen de la responsabilidad patrimonial de la Administración, con lo cual no se impediría la ejecución subsidiaria por tercero no afectado por la norma. No obstante, y por las razones que se incluyen en la fundamentación del Auto de planteamiento de la cuestión, entiende que esa interpretación excede del tenor de la norma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manifiesta igualmente compartir y asumir los razonamientos incluidos en el Auto de 27 de julio de 2011, por el que la Sala de lo Contencioso-Administrativo del Tribunal Superior de Justicia de Cantabria elevó cuestión ante este Tribunal sobre idéntica disposición, planteada en un procedimiento similar. Hechas estas precisiones, el Auto reproduce las afirmaciones del preámbulo de la Ley 2/2011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en el convencimiento de que una rápida respuesta de la Administración Pública, si bien no minorará los indudables perjuicios causados a los particulares, al menos no empeorará su situación. Por ello, la norma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ni prejuzgan la Administración responsable, ni desde luego inciden sobre las diversas modalidades indemnizatorias que puedan existir al margen del sistema de responsabilidad patrimonial, a través de fórmulas urbanísticas que, como transferencias de aprovechamiento, garanticen la indemnidad del patrimonio de los particulares.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de la cuestión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por la falta de efectividad del daño, reclamaciones patrimoniales que se han planteado en incidentes de ejecución, criterio que también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misma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esta previsión pretende incluir a los derribos consecuencia de resoluciones judiciales se deriva de lo dispuesto en el punto cinco de la referida disposición en cuanto dispone que “La Administración que tramite un expediente de responsabilidad patrimonial que tenga por objeto una lesión producida como consecuencia de actuaciones administrativas declaradas ilegales que determinen el derribo de edificaciones,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En concreto el Auto cita la solicitud de la comisión de peticiones del Parlamento Europeo al Gobierno de Cantabria en el sentido de adoptar soluciones para los afectados por los derribos considerando que era la Administración la que había cometido errores compeliendo a que se reconociera a los terceros adquirentes el derecho a recibir una indemnización justa que refleje el valor de sus bienes. A ese llamamiento responde, según el Auto, la ley cuestionada si bien, para que la Administración pueda dar cumplimiento a ese mandato se hace preciso la suspensión de la ejecución por el Tribunal pues, en caso de no accederse a ésta, la demolición precedería al procedimiento, convirtiendo en ilusorio el objetivo de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para la que los órganos judiciales carecen de competencias, pues no pueden establecer la suspensión de la ejecución judicial en tanto no se tramite el expediente de responsabilidad patrimonial.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así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Segunda de este Tribunal el conocimiento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de la cuestión de inconstitucionalidad respecto de los apartados 1, 2, y 3 y los párrafos tercero, cuarto y sexto del apartado 4 de la disposición adicional sexta de la Ley regional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Abogado del Estado por no cuestionar el juicio que sobre la aplicabilidad ratione temporis de la disposición adicional sexta realiza el órgano judicial, pues, en la medida en que resulta tan razonable como la tesis contraria, ha de ser respetado tanto por las partes como por el Tribunal Constitucional. Seguidamente 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básicas estatales. Pero este no es el caso de la norma regional cuestionada, puesto que el hecho generador de la responsabilidad está recogido en la norma estatal general y sectorial [arts. 142 de la Ley de régimen jurídico de las Administraciones públicas y del procedimiento administrativo común (LRJAP), 35 d) del texto refundido de la Ley sobre régimen del suelo y ordenación urbana y 44.2 de la Ley sobre régimen del suelo y valoraciones (Ley 6/1998, de 13 de abril)], sino que la inconstitucionalidad vendría como consecuencia de separarse el legislador autonómico de la regulación de uno de los elementos esenciales de la responsabilidad establecido en la norma estatal, cual es el requisito de que el daño sea efectivo. Al permitir que se indemnice antes de que se produzca la demolición efectiva se están indemnizando daños no actuales sino futuros, separándose así de la regla establecida en el art. 139.2 de la Ley 30/1992 con carácter básico al amparo de la competencia exclusiva del estado ex art. 149.1.18 CE.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 Tras recordar, sirviéndose de la reproducción parcial de la exposición de motivos de la ley impugnada, que la ley trata de resolver la afectación de terceros adquirentes por la ejecución de resoluciones judiciales y administrativas que lleven consigo la demolición de viviendas —problema social y jurídico que ha sido objeto de atención por las instituciones europeas—, aborda el análisis de los dos motivos de inconstitucionalidad suscitados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especialidades procedimentales derivadas de su organización propia que tienen cobertura en el art. 24, apartados 1, 3 y 22, así como en el art. 35, apartado 3, del Estatuto de Autonomía de Cantabria. El órgano judicial sigue manteniendo el control de la ejecución y a él compete la adopción de las medidas tendentes a la ejecución del fallo, sin que la obligación de tramitar el expediente de responsabilidad interfiera en las facultades de aquél, sino que se orienta a un rápido resarcimiento del perjudicado por la actuación administrativa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vulnera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 En apoyo de su tesis establece un paralelismo con la doctrina constitucional en materia de expropiación forzosa (STC 37/1987, de 26 de marzo), materia en la cual el Tribunal Constitucional ha admitido la posibilidad de que las Comunidades Autónomas establezcan nuevos supuestos expropiatorios, y la STC 164/2001, de 11 de julio, en el que también se admite la regulación autonómica de nuevos supuestos indemnizatorios en materia de responsabilidad administrativa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30 de noviembre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del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de que tratamos en la ordenación de las consecuencias indemnizatorias previstas en al art. 122.2 CE para funcionamiento normal o anormal de los servicios públicos, en este caso aquellos que han dado origen a que una Sentencia declare la ilegalidad de una edificación y sea obligada su demolición. Finalmente, también encuentra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especialidades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evaluable económicamente ya antes del derribo material de la edificación.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así como las alegaciones que en torno a esta cuestión se vertieron ante el órgano judicial proponente, y precisa que aunque la duda de constitucionalidad se dirige formalmente contra la totalidad de las disposición adicional sexta, en realidad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la duda se suscita con ocasión de tener que resolver el órgano judicial la solicitud de paralización de la ejecución de Sentencia en cuanto a la demolición de las obras ejecutadas al amparo de la licencia anulada en el proceso a quo. De ahí que sólo el párrafo 5 del apartado 4 de la disposición adicional sexta pueda entenderse relevante para la decisión judicial a adoptar, sin que, por el contrario, lo sean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sino tan sólo sobre si resulta o no procedente la suspensión de la ejecución de la Sentencia en tanto se sustancia ante la Administración el aludido expediente de responsabilidad patrimonial.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Enmarca seguidamente la cuestión suscitada en la problemática surgida como consecuencia de la edificación extensiva en la costa española, la cual ha dado lugar a diversas iniciativas europeas sobre la cuestión así como a una profusa jurisprudencia del Tribunal Supremo que niega que frente a las vulneraciones de la legalidad urbanística en la construcción de viviendas puedan sus adquirentes oponer su condición de tercero hipotecario en relación con la demolición de las viviendas. Es en este contexto en el que sitúa la norma autonómica cuestionada, pues su dictado respondió a la encomienda del Parlamento de Cantabria para que el Gobierno regional impulsase las modificaciones normativas necesarias para que quienes hubieran de soportar la demolición de sus viviendas en ejecución de resoluciones judiciales, percibieran previamente la indemnización que les correspondiese.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no excluye la competencia estatal en materia de responsabilidad patrimonial de la Administración. Y tampoco las competencias sobre funcionamiento de sus instituciones de autogobierno y sobre el procedimiento administrativo derivado de las especialidades de la organización propia a que se refieren los núms. 1 y 32 del art. 2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Santander plantea cuestión de inconstitucionalidad en relación con la disposición adicional sexta de la Ley del Parlamento de Cantabria 2/2001, de 25 de junio, de ordenación territorial y del régimen urbanístico del suelo de Cantabria, introducida por el artículo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845/2012,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