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122</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21 de mayo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21 de diciembre de 2012, el Abogado del Estado, en representación de la Presidenta del Gobierno en funciones, promueve recurso de inconstitucionalidad contra los arts. 16 (en lo relativo al nuevo art. 3 bis.1.1, apartado 1, del texto refundido de la Ley de tasas y precios públicos de la Generalitat de Cataluña, aprobado por Decreto Legislativo 3/2008, de 25 de junio) y 41 de la Ley del Parlamento de Cataluña 5/2012, de 20 de marzo, de medidas fiscales, financieras y administrativas y de creación del impuesto sobre estancias en establecimientos turísticos (en lo sucesivo, Ley 5/2012).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la norma impugnada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15 de enero de 2013, el Pleno, a propuesta de la Sección Segunda, acordó admitir a trámite el recurso y, de conformidad con lo establecido en el art. 34 de la Ley Orgánica del Tribunal Constitucional (LOTC), dar traslado de la demanda al Congreso de los Diputados, al Senado, a la Generalitat de Cataluña y al Parlamento de Cataluña, al objeto de personarse en el proceso y formular alegaciones en el plazo de quince días. Asimismo, se tuvo por invocado por el Presidente del Gobierno el art. 161.2 CE, lo que, a su tenor, produjo la suspensión de la vigencia y aplicación de los preceptos impugnados. Finalmente, se acordó publicar la incoación del recurso de inconstitucionalidad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25 de enero de 2013, el Presidente del Congreso de los Diputados comunicó que la Cámara se personaba en el proceso, ofreciendo su colaboración a los efectos del art. 88.1 LOTC. Por su parte, el Presidente del Senado comunicó el día 30 de enero de 2013 el acuerdo de la Mesa de la Cámara en el mismo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 la Generalitat de Cataluña, en la representación que legalmente ostenta, presentó su escrito de alegaciones el día 5 de febrero de 2013, instando la desestimación del recurso. Solicitó asimismo, en primer otrosí, el levantamiento inmediato de la suspensión de los preceptos impugnados, en atención a las razones que se sintetizan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doctrina consolidada del Tribunal sobre este tipo de incidentes de suspensión (AATC 662/1986, 1269/1988, 12/1992, 417/1997, 44/1998, 277/2009 y 95/2011, entre otros muchos), señala que el levantamiento o mantenimiento de la suspensión derivada de la invocación del art. 161.2 CE se ha de dirimir en función de la consideración de varios criterios. El primero es el de la presunción de legitimidad de las normas, en especial de las que tienen fuerza de ley, por el interés general que existe en el normal despliegue de la eficacia de las leyes, revestidas como están de una especial presunción de constitucionalidad en cuanto expresión de la voluntad popular. En este sentido, la resolución del incidente de suspensión ha de evitar que la suspensión opere como un “indebido bloqueo del ejercicio de sus competencias por las Comunidades Autónomas” (ATC 12/1992, FJ 1). El segundo criterio es el de la ponderación, de un lado, de los intereses en presencia, tanto el general y público, como, en su caso, el particular o privado de las personas afectadas, y, de otro, de los perjuicios de imposible o difícil reparación que puedan derivarse de la aplicación de la norma o del mantenimiento de su suspensión, que deben ser ciertos y efectivos y no meramente hipotéticos, así como la posibilidad de que en uno u otro caso pudieran llegar a producirse situaciones de hecho irreversibles que vaciasen de contenido la resolución final del proceso pendiente. Esta valoración debe efectuarse al margen de la viabilidad de las pretensiones que se formulan en la demanda (por todos, AATC 30/2003 y 18/2007). Por último, conforme a lo expresado, entre otros muchos, en los AATC 351/1990, 243/1993, 64/1994, 251/1996, 44/1998, 199/2000, 5/2002, 30/2003 y 238/2012, el mantenimiento de la suspensión, en cuanto excepción a la regla general, requiere que el Gobierno, a quien se debe la iniciativa de la suspensión, aporte y razone con detalle los argumentos que la justifiquen. Sin perjuicio de lo anterior, se razonan a continuación los motivos que, a su entender, deben conducir al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Tratándose la cuestión controvertida de un tema de tasas, es lógico pensar que los perjuicios que pudieran derivarse del mantenimiento o levantamiento de su suspensión tienen fundamentalmente un carácter económico, aunque su incidencia va más allá, puesto que si “la tasa sigue al servicio”, es razonable también que la suspensión de aquéllas, de alguna manera, habrá de incidir negativamente en la prestación de éstos.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tasa por los servicios personales y materiales en el ámbito de la “administración de la Administración de Justicia”, durante los primeros meses de su aplicación (mayo a noviembre de 2012), ha generado una recaudación efectiva de 6,1 millones de euros, habiéndose previsto una recaudación total anual de entre 11 y 12 millones de euros, que se ha visto truncada por la suspensión de su aplicación a consecuencia del presente recurso. Desde la perspectiva de los intereses públicos afectados, el mantenimiento de la suspensión de la tasa comporta un real y efectivo perjuicio para los ingresos públicos, mesurable según se ha expuesto, lo que resulta especialmente grave en la situación actual de crisis económica y de exigente ajuste presupuestario, en la que tales ingresos resultan no sólo necesarios sino hasta indispensables para la solvencia de la Administración. Además, la necesidad perentoria de esa recaudación se justifica de manera especial si se tiene en cuenta su destino pues, de acuerdo con el art. 3 bis. 1.8, los ingresos derivados de la tasa quedan afectados a la financiación de los gastos en los que incurra la Generalitat para el funcionamiento de los órganos judiciales con sede en Cataluña, de manera que el no poder disponer de tales ingresos habrá de redundar en seguro menoscabo del mejor funcionamiento de los servicios que dichos órganos realizan a diario, contando para ello con el oportuno soporte económico de la Generalitat. Esta afectación de la tasa al sostenimiento de políticas públicas “merece la condición de interés preferente en la jurisprudencia sobre la suspensión cautelar de las normas” (AATC 72/1999, FJ 3; y 51/2002, FJ 2). Y no debe olvidarse que los principales perjudicados por el peor funcionamiento del servicio de la justicia serían, en definitiva, los propios usuarios que acuden a ella, del mismo modo que los beneficios de la tasa recaen en ellos mismos, aunque mediante su pago deban contribuir a aminorar el coste que el servicio de la justicia supone para el conjunto de la sociedad.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perjuicio económico que para los usuarios de la justicia puede suponer seguir pagando la tasa, cabe hacer tres consideraciones. En primer lugar, que las exenciones objetivas de la tasa, establecidas en el art. 3 bis.1.3, apartado 1, suponen que su pago no se aplica en procedimientos en materia de sucesiones, familia, estado civil de las personas y protección de los derechos fundamentales, entre otros, de modo que el legislador no ha configurado la tasa como universal sino de forma selectiva. En segundo lugar, que las exenciones subjetivas, dispuestas en el apartado 2 del mismo artículo, afectan a las personas físicas o jurídicas que tengan reconocido el derecho a la asistencia jurídica gratuita, así como a las entidades totalmente exentas del impuesto sobre sociedades, de manera que no han de pagar la tasa aquellas personas que se encuentran en una situación económicamente más débil. Para todas ellas el levantamiento de la suspensión no habrá de significar perjuicio alguno. Y, por último, que las cuotas a satisfacer, entre 60 y 120 € según los casos, por su cuantía moderada no comportan un efecto disuasorio para los particulares en cuanto al ejercicio de derecho constitucional a la tutela judicial efectiva. Es más, incluso en caso de impago de la tasa no se suspende el procedimiento judicial, de modo que no resulta afectado el ejercicio del derecho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 el levantamiento de la suspensión de la tasa no se han de producir situaciones gravemente perjudiciales ni irreversibles para los ciudadanos, como no se han producido durante los siete meses en que se ha venido aplicando. En cambio, de mantenerse la suspensión, los perjuicios para el interés general, cuantificados en 1 millón de euros al mes circa, sí que resultan importantes, ya que están en juego la propia solvencia de la Administración catalana y el cumplimiento del objetivo de déficit presupuestario, exigencia inexcusable que actualmente también afecta a la Administración de Justicia, a cuya consecución responde la Ley Orgánica 8/2012, de 27 de diciembre, de medidas de eficiencia presupuestaria en la Administración de Justicia, por la que se modifica la Ley Orgánica 6/1985, de 1 de julio,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tasa por los servicios de mejora en la expedición y dispensación de recetas entró en vigor el 23 de junio de 2012, y en los primeros seis meses de su aplicación ha comportado una recaudación de 45,7 millones de euros, período en el que se ha producido una reducción del volumen de recetas que aminora los recursos públicos destinados al consumo farmacéutico en 5,9 puntos respecto del año anterior. Así pues, el mantenimiento de la suspensión de la tasa comportaría unos perjuicios ciertos para las arcas públicas y, por tanto, para el interés general, cuantificables en 8 millones de euros mensuales circa, cifra importante, máxime en el contexto de exigente ajuste presupuestario en el que nos encontramos.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considerar también el efecto modulador de la demanda que produce la tasa, respecto del cual se ha constatado que no actúa por igual respecto de todos los grupos de medicamentos. Así, en cuanto a los grupos de medicamentos más sensibles en relación con la importancia de su adherencia, se observa una tendencia que mantiene los niveles anteriores a la medida, mientras que la disminución del consumo se produce en especial en los grupos de medicamentos a demanda. Estos resultados cuadran con los objetivos y las acciones para racionalizar la utilización de los medicamentos, entre las que destaca desincentivar su almacenamiento en los domicilios, de modo que levantar la suspensión de la tasa favorecería su consolidación.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desde la perspectiva de los intereses particulares, de esos mismos datos se puede concluir que el establecimiento de la tasa no ha sido una barrera en el acceso a los medicamentos y que, por tanto, no ha tenido un impacto negativo sobre la salud. La afectación a los intereses particulares es, pues, fundamentalmente de carácter económico, aunque limitada. En efecto, aunque el sujeto pasivo de la tasa es cualquier persona física a la que se prescribe y dispensa un medicamento o producto sanitario, para proteger a los colectivos más desfavorecidos, el art. 21.22-5 establece unos supuestos de exenciones, de manera que están exentos del pago de la tasa: los perceptores de una pensión no contributiva; los beneficiarios del programa de la renta mínima de inserción; los perceptores de la prestación económica para el mantenimiento de necesidades básicas; los perceptores de la prestación de la Ley de integración social de los minusválidos y los beneficiarios del fondo de asistencia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para que la tasa no suponga una barrera de acceso a los medicamentos para los pacientes crónicos, el mismo precepto establece un límite anual de 61 euros (36 euros para 2012 debido a su entrada en vigor el 23 de junio). A partir de dicho importe, el paciente no tiene que abonar más tasas hasta el siguiente año natural. Y, a su vez, se excluye del pago de la tasa a aquellos supuestos en que, por el reducido precio del producto, la adquisición de un medicamento con receta del Sistema Nacional de Salud pudiera tener un coste superior para el paciente que su adquisición de forma privada, sin abonarla.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en caso de levantarse la suspensión de la tasa, la afectación a los intereses particulares de carácter económico, teniendo presente la indicada limitación subjetiva y objetiva, no ha de suponer para los contribuyentes un perjuicio ni grave ni irreparable. En cambio, el mantenimiento de su suspensión comportaría daños muy superiores para el interés público, puesto que el no disponer de este ingreso, supondría tener que llevar a cabo medidas de ajuste que podrían afectar a las políticas socio-sanitarias de forma grave, en especial teniendo en cuenta el tipo de necesidades sociales que pudieran dejarse de atender.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Invoca al respecto el criterio sostenido por el Tribunal en el ATC 238/2012, de 12 de diciembre, FJ 3 b), que cita los AATC 95/2011, de 21 de junio, y 147/2012, de 16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6 de febrero de 2013, se registró en este Tribunal el escrito de alegaciones presentado por el Letrado del Parlamento de Cataluña, instando la desestimación del recurso. Mediante otrosí, solicita el levantamiento inmediato de la suspensión de los preceptos impugnados, en atención a las razones que se sintetizan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potestad gubernamental de veto suspensivo establecida en el art. 161.2 CE en el seno de los procedimientos constitucionales instados contra las Comunidades Autónomas aparece como una medida estrictamente procesal, de naturaleza cautelar o de protección preventiva, sobre la cual el propio Tribunal Constitucional se deberá pronunciar, estando sus resoluciones presididas por la ponderación de los intereses en juego, por el examen de las situaciones creadas por la norma, por la naturaleza de los actos impugnados, regidos por el principio de presunción de la constitucionalidad de las normas objeto del conflicto, y por la consistencia de las razones que aporte el Gobierno en defensa del referido mantenimiento. En consecuencia, y partiendo siempre de la consolidada jurisprudencia constitucional recaída en diversos incidentes de suspensión, en el presente supuesto han de ponderarse los intereses en presencia, tanto el general y público, como el particular y privado de terceras personas afectadas, analizando los perjuicios de imposible o difícil reparación que se sigan de la resolución adoptada, al margen de la viabilidad de las pretensiones que las partes han formulado (AATC 727/1984, de 22 de noviembre, FJ 2; 753/1984, de 29 de noviembre, FJ 2; 175/1985, de 7 de marzo, FJ único; 355/1989, de 20 de junio, FJ 3; 329/1992, de 27 de octubre, FJ 2; 46/1994, de 8 de febrero, FJ 1; 251/1996, de 17 de septiembre, FJ 1; 231/1997, de 24 de junio, FJ 1; 417/1997, de 16 de diciembre, FJ 1; 169/1998, de 14 de julio, FJ 1; 218/1998, de 14 de octubre, FJ 1; 18/1999, de 26 de enero, FJ 1; 72/1999, de 23 de marzo, FJ 1; 100/2002, de 5 de junio FJ 2; 88/2008, de 2 de abril, FJ 2; y 157/2008, de 12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proceso constitucional, únicamente se producirían daños reales y perjuicios de imposible o difícil reparación si se mantuviera la suspensión de los preceptos impugnados. Las tasas cuestionadas vienen a aumentar las fuentes de ingresos de la Generalitat de Cataluña en el actual contexto de crisis y de consolidación fiscal, por lo que mantener su suspensión implicaría comprometer los compromisos financieros de Cataluña y del conjunto del Reino de España con relación a los umbrales de déficit fijados en el marco europeo. </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Hay que recordar que actualmente la estabilidad presupuestaria es un imperativo constitucional. A partir de la reforma del art. 135 CE, los poderes públicos deberán perseguir conjuntamente los objetivos de optimización de las prestaciones sociales y de estabilidad presupuestaria, ponderando las necesidades sociales, de un lado, y de otro las disponibilidades y previsiones presupuestarias. Las tasas suspendidas vienen a reforzar las fuentes de financiación de la prestación del servicio de la justicia y del servicio de salud, y con ello a cumplir los objetivos de déficit necesarios para mantener dicha estabilidad presupuestaria.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suspendidos, de clara naturaleza fiscal, inciden sobre la recaudación, e indirectamente, sobre la contención del gasto farmacéutico. La sostenibilidad del sistema sanitario público impone a todos los poderes públicos la necesidad de adoptar medidas de racionalización y contención del gasto farmacéutico, pues es uno de los principales componentes del gasto sanitario, en una situación como la actual, caracterizada por una exigente reducción de gasto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produce perjuicios irreparables de imposible o difícil reparación respecto de los ingresos de la Generalitat y de los límites de déficit, pero también elimina los efectos de racionalización de la demanda de medicamentos (art. 41 de la Ley 5/2012).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19 de febrero de 2013, el Abogado del Estado presentó sus alegaciones sobre la suspensión de la Ley recurrida, interesando la denegación de la solicitud de su alzamiento anticipado, y el mantenimiento de la suspensión de los preceptos legales recurridos, en atención a las razones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interés público alegado por los solicitantes del levantamiento anticipado es el recaudatorio, en un contexto de necesaria consolidación fiscal para la reducción del déficit y la consecución de la estabilidad presupuestaria de la Comunidad Autónoma. El Tribunal ha dado, en ciertas ocasiones, prevalencia al interés recaudatorio, más aún cuando va enlazado con la suficiencia financiera y la solvencia autonómicas (por todos, AATC 5/2002, de 15 de enero, y 314/2004, de 20 de julio, FJ 3). Sin embargo, en el presente asunto concurren especiales circunstancias respecto a ambas tasas que excluyen la aplicación de esa doctrina.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tasa relativa a los servicios en la Justicia se superpone, en la abrumadora mayoría de los supuestos, a las tasas estatales reguladas en la Ley 10/2012, de 20 de noviembre, aumentando así el coste de acceso a la Justicia. Las SSTC 20/2012, de 16 de febrero, FJ 10; y 103/2012, de 9 de mayo, FJ 3, señalan que unas tasas excesivas pueden llegar a ser inconstitucionales si obstaculizan irrazonablemente el acceso a la jurisdicción o al recurso legal. Este no es un perjuicio marcadamente hipotético sino real: el aumento del coste de demandar justicia ejerce notorios efectos disuasivos. Para un juicio ordinario, la tasa autonómica (120 euros) representa el 40 por 100 de la tasa fija estatal (300 euros), y el mismo porcentaje de incremento concurre en los juicios verbales superiores a 3.000 euros. En el juicio cambiario superior a 3.000 euros, la tasa autonómica incrementa en un 90 por 100 la tasa fija estatal. En el monitorio de más de 3.000 euros, el incremento es del 60 por 100. En consecuencia, el interés recaudatorio autonómico debe ponderarse con el interés de los titulares del derecho a la tutela judicial efectiva en acceder a la jurisdicción y a los recursos legales sin costes añadidos excesivos, que engendran siempre efectos disuasorios irreparables. Axiológicamente, la efectividad del derecho a la tutela judicial —sin obstáculos de coste excesivo— debe tener mayor peso que el interés recaudatorio autonómico. Consecuencia añadida es que el acceso a la Justicia y al recurso legal resulta en Cataluña más obstaculizado por gravámenes tributarios que en otras partes del territorio del Estado, contra la “igualdad sustancial” de las condiciones de ejercicio de los derechos fundamentales que se deriva del art. 139.1 CE, sin perjuicio de sus “modulaciones diferenciadas” en virtud del ejercicio de las competencias autonómicas [por todas, STC 247/2007, de 12 de diciembre, FJ 13 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supuesto deterioro del servicio público de la Justicia por no poder contar con el rendimiento de la tasa como recurso financiero no pasa de ser una hipótesis indemostrada, puesto que no se ofrecen datos sobre los costes que para la Administración autonómica representa el servicio, ni se precisa qué concreto tipo de “programas de la Administración de Justicia” quedarán faltos de financiación.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y como señala el informe del Ministerio de Justicia de 8 de febrero de 2013 (documento núm. 1 adjunto), el levantamiento de la suspensión originaría dificultades en la gestión de la devolución de la tasa autonómica en caso de un eventual pronunciamiento favorable al recurso, que entorpecerían el funcionamiento de la Administración de Justicia. A diferencia del supuesto contemplado en el ATC 314/2004, la aplicación de esta tasa afecta a un gran número de sujetos pasivos. El informe señala que en 2011 el número de nuevos asuntos civiles ingresados en Cataluña fue de 286.635, y en el orden contencioso-administrativo fueron 22.187. Este interés público en el apropiado funcionamiento de la Administración de Justicia debe estimarse superior al interés recaudatorio, muy pequeño si se compara con la petición de recursos financieros dirigida por la Comunidad Autónoma al fondo de liquidez autonómica, 9.073 millones de euros (según documento núm. 2 adjunto). De ahí que el interés recaudatorio deba valorarse en sus justos términos, teniendo en cuenta que los 11 millones de euros estimados representan el 0,12 por 100 de la apelación al fondo de liquidez autonómica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la tasa relativa a los servicios ligados a la expedición y dispensación de recetas, no es de aplicación la doctrina de los AATC 95/2011, de 21 de junio, 96/2011, de 21 de junio, 147/2012, de 16 de julio, y 238/2012, de 12 de diciembre, que aduce el Abogado de la Generalitat. Todas estas resoluciones se refieren a medidas de contención del déficit que se enderezan a la reducción del coste de la prestación farmacéutica financiada por la Comunidad Autónoma. Aquí, por el contrario, nos encontramos ante una tasa que deben pagar los beneficiarios de esa prestación.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pesar de la cuantía de la tasa autonómica recurrida, puede constituir una barrera de acceso a la prestación farmacéutica de los usuarios con menores recursos y más necesitados de medicamentos recetados, puesto que la tasa se suma a la aportación (“copago”) que deben hacer con arreglo a las normas generales. La gravedad de esta barrera de acceso se percibe en sus justos términos si se tienen en cuenta, como señala el informe de la Dirección General de Cartera Básica de Servicios del Sistema Nacional de Salud y Farmacia (documento adjunto núm. 3), los siguientes extremos: (i) la tasa del euro por receta penaliza especialmente a la población más vulnerable, como a los más enfermos (necesitan más recetas), y a los pensionistas, colectivos éstos ya suficientemente castigados por concentrar mayor necesidad de cuidados sanitarios y de protección especial por los poderes públicos y cuyo poder adquisitivo es, a todas luces, claramente menor que en la población activa de menor edad. En torno al 70 por 100 de las recetas dispensadas lo son a pensionistas, y es conocido que casi el 80 por 100 del consumo de recursos sanitarios se produce en mayores de 65 años; (ii) es una tasa de carácter lineal, que no tiene en consideración criterios de equidad como el nivel de renta, la situación laboral o el estado de salud, ni establece topes de aportación que pudieran limitar las repercusiones económicas negativas en estos grupos desfavorecidos; (iii) el efecto se agrava al sumarse la tasa catalana al copago farmacéutico establecido por el legislador estatal. Por tanto, haciendo uso de una competencia que no tienen las Comunidades Autónomas, se está penalizando a los ciudadanos con un coste adicional sobre el mismo acto sanitario, que además no tiene en cuenta los factores que determinan la necesidad de medicación, edad y enfermedad, ni la capacidad económica del mismo. Se paga lo mismo, un euro, independientemente del precio del fármaco; (iv) la reducción de las recetas expedidas se habría producido porque, al sumar la tasa, en algunos casos sale más económico comprar el medicamento sin receta. Esto tiene un claro efecto perverso: el de inducir a la auto-medicación y a no acudir a los servicios médicos y retirar directamente la medicación en tratamientos financiados que requieren seguimiento médico. De esta forma, se impide el seguimiento del cumplimiento de los tratamientos por los pacientes que retiran los fármacos sin receta, perdiendo el médico la información sobre el seguimiento del tratamiento que aporta la receta oficial, uno de los mayores avances derivados de la implantación de la receta electrónica del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suma de estas cuatro circunstancias hace que el riesgo para la salud del levantamiento de la suspensión de la tasa sea cierto y concentrado precisamente en quienes más necesidad tienen de la asistencia farmacéutica (ATC 221/2009, de 21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riesgos para la salud que pudieran ocasionarse de levantarse la suspensión resultan ciertamente irreparables. Pero la dificultad de reparación también se aprecia en los perjuicios económicos que van a soportar los usuarios de la sanidad pública en Cataluña, por la “'dificultad de deshacer las situaciones creadas” (AATC 87/2012, de 10 de mayo, FJ 3; y 161/2012, de 13 de septiembre, FJ 3). Por el propio modo de cobrar la tasa, al dispensar el farmacéutico el medicamento recetado, minorando la factura que la farmacia pasa al Servicio Catalán de Salud, será virtualmente imposible —en el caso típico— la restitución al beneficiario de la prestación farmacéutica de la tasa cobrada durante el tiempo de pendencia del presente proceso, si al final se declarara inconstitucional y nula.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tampoco se aprecian efectos favorables para el Sistema Nacional de Salud que supongan una mayor eficacia en la gestión del gasto farmacéutico. En efecto, como resulta del anexo I del informe anteriormente citado, i) durante el tiempo de vigencia de la tasa controvertida ha habido Comunidades que, sin imponer tasa alguna, han sido más eficaces en la gestión del gasto farmacéutico, simplemente mediante la plena implementación de las normas básicas estatales. Es más, si se compara el gasto final por recetas farmacéuticas en Cataluña con la media en el resto de España, se aprecia que se ha producido una reducción prácticamente idéntica (anexo II). ii) Además, aunque desde la entrada en vigor de la norma catalana impugnada se aprecia una reducción del número de recetas, en Cataluña ha aumentado el gasto medio por receta respecto del resto de España, pudiendo encontrarse la explicación en que en aquella Comunidad se habría desviado la prescripción hacia medicamentos más caros para evitar pagar el euro en medicamentos más baratos, en los que compensa su compra fuera de receta (anexo III). iii) Por último, se ha evidenciado a través de los medios de comunicación y denuncias el efecto frontera, es decir, la desviación hacia farmacias de ayuntamientos limítrofes con Cataluña de otras Comunidades Autónomas. Por tanto, se trata de recetas pagadas por otros Servicios de Salud. No es posible conocer en qué casos la disminución de recetas producida en Cataluña se debe a que en realidad han sido dispensadas en farmacias de otras Comunidades Autónomas y que, por tanto, no supone un ahorro real, sino que es una desviación hacia las cuentas de otros Servicios de Salud de los españoles. Este efecto frontera, empujando a la retirada de los fármacos en las farmacias de las Comunidades Autónomas limítrofes, incrementa el gasto farmacéutico de éstas, y por tanto genera que con los recursos de la sanidad aragonesa o valenciana se estén pagando los medicamentos de la sanidad catalana.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 los arts. 16 (en lo relativo al nuevo art. 3 bis.1.1, apartado 1, del texto refundido de la Ley de tasas y precios públicos de la Generalitat de Cataluña, aprobado por Decreto Legislativo 3/2008, de 25 de junio) y 41 de la Ley del Parlamento de Cataluña 5/2012, de 20 de marzo, de medidas fiscales, financieras y administrativas y de creación del impuesto sobre estancias en establecimientos turísticos (en lo sucesivo, Ley 5/2012). La aplicación de dichos preceptos se encuentra suspendida, como consecuencia de la invocación del art. 161.2 CE, al promoverse el recurso de inconstitucionalidad contra los mismos por la Presidenta del Gobierno en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preceptos establecen, respectivamente, la “tasa por la prestación de servicios personales y materiales en el ámbito de la administración de la Administración de Justicia”, que la demanda reputa contraria al art. 6.2 de la Ley Orgánica de financiación de las Comunidades Autónomas (LOFCA), en relación con los arts. 133.2, 149.1.14 y 157.3 CE, y la “tasa sobre los actos preparatorios y los servicios accesorios de mejora de la información inherentes al proceso para la prescripción y dispensación de medicamentos y productos sanitarios mediante la emisión de recetas médicas y órdenes de dispensación”, que se impugna por vulneración de la legislación básica estatal en materia de sanidad, dictada ex art.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es reiterada nuestra doctrina según la cual, para decidir acerca del mantenimiento o levantamiento de la suspensión acordada por invocación del art. 161.2 CE,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y 60/2013, de 26 de febrero,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de lo que en este incidente se trata es de dilucidar si los perjuicios que han sido alegados por el Abogado del Estado, sobre el que pesa la carga de acreditar la existencia de los perjuicios y la imposible o difícil reparación de los mismos, tienen la gravedad y consistencia necesarias como para prevalecer sobre la presunción de legitimidad de la regulación catalana y los intereses que se vinculan a su aplicación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dos impugnaciones que afectan a la Ley 5/2012 afectan a sendas figuras tributarias, en concreto a dos tasas, por lo que a ambas resulta aplicable nuestra previa doctrina relativa a los perjuicios de naturaleza económica, según la cual es evidente que éstos quedan condicionados a que, en la Sentencia por la que se resuelva en su momento el recurso de inconstitucionalidad, se declare que la Comunidad Autónoma, en el ejercicio de su potestad tributaria, ha vulnerado, bien el art. 6.2 LOFCA, bien la competencia estatal relativa a las bases y coordinación de la sanidad (art 149.1.16 CE). Por este motivo, en tanto se produce una decisión sobre el fondo del asunto, los perjuicios económicos alegados por el Abogado del Estado, aisladamente considerados, no pueden prevalecer sobre la presunción de legitimidad de la ley autonómica. (AATC 173/2002, de 1 de octubre, FJ 2; y 314/2004, de 20 de julio, FJ 3,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Examinaremos en primer lugar los restantes motivos aducidos por el Abogado del Estado para mantener la suspensión en lo relativo a la “tasa por la prestación de servicios personales y materiales en el ámbito de la administración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alega que el coste resultante de la tasa catalana, superpuesta a la tasa estatal regulada por la Ley 10/2012, de 20 de noviembre, podría tener efectos disuasorios en el acceso a la Justicia, debiendo prevalecer el derecho a la tutela judicial efectiva (art. 24.1 CE) —sin obstáculos de coste excesivo— sobre el interés recaudatorio autonómico. Consecuencia derivada de lo anterior sería que el acceso a la Justicia y al recurso legal resultaría en Cataluña más obstaculizado por gravámenes tributarios que en otros ámbitos territoriales, contra la igualdad sustancial de las condiciones de ejercicio de los derechos fundamentales (art. 139.1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conviene precisar que la demanda no contiene tal alegato, en realidad se pone así de manifiesto una discrepancia acerca de la constitucionalidad del tributo, que remite cabalmente al juicio sobre la validez constitucional de la norma impugnada, lo que exigiría entrar en un análisis de fondo que resulta vedado en incidentes de esta naturaleza cautelar. Como señalamos en el ATC 173/2002, FJ 5, la discrepancia de fondo “no puede ser admitida para acordar un eventual mantenimiento de la suspensión (por todos, ATC193/1999, de 21 de julio, FJ 4), dado que la decisión sobre la ratificación o la rectificación de la medida cautelar automática ha de ser adoptada con total abstracción de la cuestión de fondo objeto del proceso, acerca de la cual debe soslayarse cualquier reflexión, evitando el riesgo de prejuzgarla (entre otros, AATC 382/1993, de 1 de diciembre, FJ 2; 347/1995, de 19 de diciembre, FJ 2; y 195/1999, de 21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estrictamente cautelar propia de este incidente, en cuanto al derecho de acceso a la Justicia, conviene recordar que, de acuerdo con la jurisprudencia de este Tribunal, “[s]i los justiciables no abonan el coste del funcionamiento de la justicia, el Poder judicial debe ser financiado mediante impuestos, sufragados por los contribuyentes. Aunque resulta evidente que la justicia, en tanto que garantía del Estado de Derecho, implica beneficios colectivos que trascienden el interés del justiciable considerado individualmente, lo cierto es que la financiación pura mediante impuestos conlleva siempre que los ciudadanos que nunca acuden ante los Tribunales estarían coadyuvando a financiar las actuaciones realizadas por los Juzgados y las Salas de Justicia en beneficio de quienes demandan justicia una, varias o muchas veces. Optar por un modelo de financiación de la justicia … es una decisión que, en una democracia, como la que establece la Constitución española, corresponde al legislador (STC 20/2012, de 16 de febrero, FJ 8).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Subrayamos también entonces que “la Constitución no ha proclamado la gratuidad de la administración de justicia, sino ‘un derecho a la gratuidad de la justicia … en los casos y en la forma que el legislador determine’, tal y como dispone el art. 119 CE”, régimen de gratuidad que aparece respetado en la Ley catalana 5/2012, en concreto en el art. 3 bis.1.3, que entre otras exenciones incluye en su apartado 2 a) a las personas físicas o jurídicas que tengan reconocido el derecho a la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según se desprende del art. 3 bis.1.7 de la Ley catalana 5/2012, el incumplimiento del régimen de autoliquidación de la tasa catalana no conlleva obstáculo alguno a la tramitación de las acciones judiciales instadas por los sujetos pasivos. Según este precepto, corresponde a los Secretarios Judiciales, de acuerdo con el deber de colaboración contemplado en el art. 452.3 de la Ley Orgánica del Poder Judicial, la comprobación de las autoliquidaciones y las exenciones subjetivas y, en caso de incumplimiento de la obligación de presentar los justificantes de la autoliquidación de la tasa por parte de los sujetos pasivos, deben ponerlo en conocimiento del departamento autonómico competente en materia de justicia, gestor de la tasa. Por tanto, el pago o impago de la tasa no afecta a la Administración de Justicia, en el sentido de que no impide el acceso a la Justicia ni, en definitiva, el ejercicio de la función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Abogado del Estado califica de hipótesis indemostrada el supuesto deterioro del servicio público de la Justicia por no poder contar con el rendimiento de la tasa, al no ofrecerse por las representaciones procesales de la Generalitat o del Parlamento de Cataluña datos sobre los costes que representa el servicio, ni precisar qué programas quedarían faltos de financiación. No podemos adentrarnos en este planteamiento, porque supone desplazar a la parte demandada la carga de acreditar la existencia de los perjuicios y su imposible o difícil reparación, y como ya hemos señalado, en este trámite procesal tal acreditación atañe al Abogado del Estado.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Abogado del Estado alega que el levantamiento de la suspensión originaría dificultades en la gestión de la devolución de la tasa autonómica en caso de un eventual pronunciamiento favorable al recurso, que entorpecería el funcionamiento de la Administración de Justicia, teniendo en cuenta el gran número de sujetos pasivos afectados, como consecuencia del abultado volumen de asuntos nuevos ingresados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motivo debe ser acogido, si bien matizado en los términos que se exponen a continuación. En el ATC 173/2002, FJ 3, tuvimos en cuenta que “el reducido número de afectados por el tributo autonómico permite que, en caso de una eventual futura declaración de inconstitucionalidad de la norma legal impugnada, sea fácil la identificación de los afectados y la devolución del impuesto recaudado, razón por la cual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nos hemos pronunciado en el reciente ATC 60/2013, de 26 de febrero, FJ 5: “en esta ocasión, el criterio determinante del levantamiento de la suspensión debe ser el mismo que utilizamos en los AATC 253/1992, de 9 de septiembre, y 417/1997, de 16 de diciembre, esto es, que ‘en supuestos como el presente es determinante el hecho de que los sujetos pasivos del impuesto sean poco numerosos y perfectamente identificables, ya que, en tal hipótesis —y así sucede con toda evidencia en relación con el tributo recurrido—, no serían excesivamente onerosas las cargas, molestias y costes que, en su caso, conllevarían las operaciones de devolución de las cantidades ya ingresadas’ (FJ 5 de la última resolución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tanto un criterio consolidado que, para decidir acerca del mantenimiento o levantamiento de la suspensión en supuestos de esta naturaleza, aunque se trate de perjuicios de carácter patrimonial y privado, su relevancia ha de ponderarse en función del número de afectados y de su posible identificación. Ciertamente, en el presente caso, resulta perfectamente posible la identificación de los afectados, pero el volumen de afectados sería considerablemente superior a los que dieron lugar a las citadas resoluciones. En efecto, de acuerdo con los datos contenidos en el informe del Ministerio de Justicia aportado por el Abogado del Estado, que a su vez cita las estadísticas oficiales del Consejo General del Poder Judicial, en 2011 el número de nuevos asuntos civiles ingresados en Cataluña fue de 286.635, y en el orden contencioso-administrativo fueron 22.187. Incluso teniendo en cuenta, como indica dicho informe, que no todos estos asuntos estarían sometidos a la exigencia de pago (por los supuestos de exención contemplados en el art. art. 3 bis.1 3), la proyección temporal del mencionado dato estadístico arroja una cifra excesivamente elevada, que nos conduce a considerar desproporcionadamente onerosa para el conjunto de los sujetos pasivos la reparación del perjuicio a través de las operaciones de devolución.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si bien no ha quedado acreditado que, de producirse esta eventualidad, quedara entorpecido el funcionamiento de la Administración de Justicia, pues se deduce del art. 3 bis.1.7 de la Ley catalana 5/2012 que la gestión del tributo corresponde a la Administración autonómica, por lo que únicamente recaería sobre ésta la carga administrativa de la devolución de la tasa, sin incidencia alguna en el normal desenvolvimiento de la función jurisdiccional, lo cierto es que el abultado volumen de las operaciones de devolución, con las cargas y molestias que pudieran conllevar, aconseja mantener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anterior conclusión nos exime de profundizar en el último argumento del Abogado del Estado, que concluye señalando que el interés recaudatorio presente debe valorarse en sus justos términos, siendo muy pequeño si se compara con la petición de recursos financieros dirigida por la Comunidad Autónoma al fondo de liquidez autonómico, al representar sólo un 0,12 por 100 de la apelación al fondo de liquidez autonómica. No obstante, cabe apuntar que tal comparación no podría servir como parámetro para justificar el mantenimiento de la suspensión de la Ley catalana 5/2012 ni, en definitiva, para medir el interés recaudatorio presente, que quedaría distorsionado de no ponderarse en sumatorio. La consecución del objetivo de estabilidad presupuestaria, principio consagrado en el art. 135.1 CE, será la resultante lógica de una combinación de medidas que afectarán tanto a los ingresos como a los gastos públicos, en todo caso presidida por el respeto al principio de autonomía financiera de las Comunidades Autónomas (art. 156.1 CE). A este objetivo responde la Ley catalana 5/2012, como refleja su exposición de motivos, y concretamente la medida recaudatoria subyacente en la tasa controvertida, cuya cuantía relativamente modesta —en los términos comparativos que se nos proponen— no es relevante, al quedar aislada de la cifra de recaudación global obtenida por la Comunidad Autónoma en aplicación de su política fiscal, considerada en su conjunto.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Nos corresponde ahora abordar los motivos que sustentan la petición de mantenimiento de la suspensión de la “tasa sobre los actos preparatorios y los servicios accesorios de mejora de la información inherentes al proceso para la prescripción y dispensación de medicamentos y productos sanitarios mediante la emisión de recetas médicas y órdenes de dispensación”.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Desde perspectivas opuestas a las que ahora sustentan las partes, hemos tenido ocasión de pronunciarnos sobre los principales intereses en presencia, que también ahora habremos de ponderar. De una parte, “la sostenibilidad del sistema sanitario público impone a todos los poderes públicos la necesidad de adoptar medidas de racionalización y contención del gasto farmacéutico pues es uno de los principales componentes del gasto sanitario y en el que más pueden incidir las políticas de control del mismo, tanto más necesarias en una situación como la actual caracterizada por una exigente reducción del gasto público. La contención y reducción del gasto farmacéutico es, por tanto, un objetivo a conseguir por la totalidad de las estructuras del Sistema Nacional de Salud” (ATC 95/2011, de 21 de junio, FJ 5; en el mismo sentido, AATC 96/2011, de 21 de junio, FJ 6; 147/2012, de 16 de julio, FJ 6; 238/2012, de 12 de diciembre, FJ 3; 239/2012, de 12 de diciembre, FJ 6).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otra parte, “el interés general de preservar el derecho a la salud consagrado en el art. 43 CE. Esa contraposición también tiene proyecciones individuales puesto que la garantía del derecho a la salud no sólo tiene una dimensión general asociada a la idea de salvaguarda de la salud pública, sino una dimensión particular conectada con la afectación del derecho a la salud individual de las personas receptoras de las medidas adoptadas por los Gobiernos estatal y autonómico … Para que este Tribunal valore los intereses vinculados a la garantía del derecho a la salud, es preciso acudir a lo dispuesto en el art. 43 CE, en relación con el deber de todos los poderes públicos de garantizar a todos los ciudadanos el derecho a la protección de la salud, cuya tutela les corresponde y ha de ser articulada ‘a través de medidas preventivas y de las prestaciones y servicios necesarios” (art. 43.1 y 2 CE)’ (STC 126/2008, de 27 de octubre, FJ 6). Si, además del mandato constitucional, se tiene en cuenta, como ya lo ha hecho este Tribunal, la vinculación entre el principio rector del art. 43 CE y el art. 15 CE que recoge el derecho fundamental a la vida y a la integridad física y moral, en el sentido de lo reconocido por el Tribunal Europeo de Derechos Humanos (por todos asunto VO c. Francia de 8 de julio de 2004), resulta evidente que los intereses generales y públicos, vinculados a la promoción y garantía del derecho a la salud, son intereses asociados a la defensa de bienes constitucionales particularmente sensibles” (ATC 239/2012, de 12 de diciembre,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estos últimos, el Abogado del Estado alega que, a pesar de la reducida cuantía de la tasa (un euro por receta), puede ésta erigirse en barrera que impida el acceso a la prestación farmacéutica de los usuarios con menos recursos y mayores necesidades, puesto que se suma a la aportación (“copago”) regida por la legislación estatal, lo que puede suponer riesgos irreparables para la salud, riesgos concentrados en quienes tienen mayor necesidad de la asistencia farmacéutica.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cautelar propia de este incidente, procede descartar que pueda justificarse en esta alegación el mantenimiento de la suspensión, ya que, como hemos señalado con anterioridad, “el perjuicio económico que, para el objetivo de control del déficit supondría el levantamiento de la suspensión parece claro, no puede quedar desvirtuado por el efectivo perjuicio que pudiera derivarse para los individuos usuarios del sistema de salud, al incrementarse el porcentaje de copago” (ATC 239/2012, de 12 de diciembre, FJ 6). Sensu contrario al supuesto examinado en el mismo Auto y fundamento jurídico, pero con idéntica razón de decidir, tampoco ahora cabe apreciar una reducción de la calidad y eficacia de la prestación farmacéutica que revierta en una lesión del derecho a la protección de la salud, puesto que los argumentos relativos a la adherencia al tratamiento y al impacto económico de la norma autonómica sobre los pensionistas se formulan con un carácter marcadamente hipotético que en ningún momento se concretan ni justifican.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 acuerdo con el art. 21.22.5 del Decreto Legislativo 3/2008, de 25 de junio, añadido por el art. 41 de la Ley del Parlamento de Cataluña 5/2012, de 20 de marzo, quedan exentos del pago de la tasa los perceptores de una pensión no contributiva, los beneficiarios del programa de la renta mínima de inserción, los perceptores de la prestación económica para el mantenimiento de necesidades básicas, los perceptores de la prestación de la Ley de integración social de los minusválidos y los beneficiarios del fondo de asistencia social (apartado a), y se establece un límite anual que implica la exención a partir de la dispensación de 61 recetas a un mismo sujeto pasivo (apartado e), de modo que cabe considerar que el legislador ha tenido en cuenta la situación de los colectivos económicamente más desfavorecidos y de los enfermos crónicos, lo que, unido a la reducida cuantía de la tasa, permite descartar que la misma suponga un riesgo irreparable para la salud, en cuanto justificación del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dificultad de reparación se aprecia también por el Abogado del Estado en los perjuicios económicos que van a soportar los usuarios, por la “dificultad de deshacer las situaciones creadas” (AATC 87/2012, de 10 de mayo, FJ 3; y 161/2012, de 13 de septiembre, FJ 3), ya que, al cobrarse la tasa en el momento de dispensar el medicamento recetado, sería virtualmente imposible la restitución al beneficiario de la prestación farmacéutica de la tasa cobrada durante el tiempo de pendencia del presente proceso, en la eventualidad de que fuera declarada inconstitucional y nula.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 lo ya razonado en el precedente fundamento jurídico 4 c), al que procede remitirse, hemos de apreciar que también concurre aquí, efectivamente, una dificultad de reparación que justifica el mantenimiento de la suspensión. Estando el hecho imponible de la tasa asociado a la prescripción y dispensación de medicamentos y productos sanitarios mediante la emisión de recetas médicas, el número de sujetos pasivos afectados, aunque pudieran ser identificados a través de la trazabilidad inherente al sistema de receta electrónica, tendría carácter masivo. Así se deduce de los datos aportados por el Abogado del Estado a través del informe del Ministerio de Sanidad, Servicios Sociales e Igualdad, que refleja las recetas facturadas en Cataluña en el período julio-noviembre 2012, y cuyo promedio mensual asciende a 10.077.842.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evidencia no sólo el carácter excesivamente oneroso de las cargas, molestias y costes que, en su caso, conllevarían para los sujetos pasivos las operaciones de devolución de las cantidades ya ingresadas, sino también para la propia Administración autonómica, que se vería obligada a arbitrar un procedimiento de devolución individualizado con unos costes de gestión que, incluso, podrían llegar a superar la cuantía recaudada por la propia exacción de la tasa.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pueden tomarse en consideración las restantes alegaciones del Abogado del Estado. La comparación del gasto final de Cataluña con la media del resto de España, en la que no aprecia efectos favorables para el Sistema Nacional de Salud que supongan una mayor eficacia en la gestión del gasto farmacéutico, no afecta a lo discutido en el presente incidente, ceñido a ponderar los perjuicios de imposible o difícil reparación que puedan derivarse del mantenimiento o levantamiento de la suspensión, a cuyo efecto no es relevante la comparación de la tasa controvertida con las alternativas adoptadas por otras Comunidades Autónomas para la contención del gasto farmacéutico.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desviación de la prescripción hacia medicamentos más caros o el efecto frontera que se dice evidenciado, por desviación de la adquisición hacia otras Comunidades Autónomas, incrementando el gasto farmacéutico de otros Servicios de Salud, no se aportan datos que permitan acreditar y cuantificar estos extremos y el perjuicio que puedan producir, lo que nos sitúa en el campo de la mera conjetura o hipótesis.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la vigencia de los arts. 16 (en lo relativo al nuevo art. 3 bis.1.1, apartado 1, del texto refundido de la Ley de tasas y precios públicos de la Generalitat de Cataluña, aprobado por Decreto Legislativo 3/2008, de 25 de junio) y 41 de la Ley del Parlamento de Cataluña 5/2012, de 20 de marzo, de medidas fiscales, financieras y administrativas y de creación del Impuesto sobre estancias en establecimientos turísticos.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