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4 de junio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18 de enero de 2013, el Abogado del Estado, en representación del Presidente del Gobierno, promueve recurso de inconstitucionalidad contra el art. 2.9, de la Ley de la Asamblea de Madrid 8/2012, de 28 de diciembre, de medidas fiscales y administrativas, que modifica el texto refundido de la Ley de tasas y precios públicos de la Comunidad de Madrid, aprobado por Decreto Legislativo 1/2002, de 24 de octubre (en adelante texto refundido) y crea dentro del título IV, un nuevo capítulo CVII, en cuyos arts. 530 a 535 se regula la “tasa por prestación de servicios administrativos complementarios de información, con ocasión de la emisión de recetas médicas y órdenes de dispensación, por los órganos competentes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norma impugnada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enero de 2013, el Pleno, a propuesta de la Sección Segunda, acordó admitir a trámite el recurso y, de conformidad con lo establecido en el art. 34 de la Ley Orgánica del Tribunal Constitucional (LOTC), dar traslado de la demanda al Congreso de los Diputados, al Senado, a la Comunidad de Madrid y a la Asamblea de Madrid, al objeto de que pudieran personarse en el proceso y formular alegaciones en el plazo de quince días. Asimismo, se tuvo por invocado por el Presidente del Gobierno el art. 161.2 CE, lo que, a su tenor y conforme dispone el art. 30 LOTC, produjo la suspensión de la vigencia y aplicación de los preceptos impugnados. Finalmente, se acordó publicar la incoación del recurso de inconstitucionalidad en el “Boletín Oficial del Estado” y en el “Boletín Oficial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30 de enero de 2013 se registró en el Tribunal el escrito de la Letrada de la Comunidad de Madrid, en la representación que legalmente ostenta, solicitando se le tenga por personada en el proceso, procediéndose a la incoación del correspondiente incidente cautelar, al objeto de decidir sobre la ratificación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mismo día 30 de enero, el Presidente del Senado comunicó el acuerdo de la Mesa de la Cámara por el que se da por personada a la misma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febrero de 2013, el Presidente del Congreso de los Diputados comunicó el acuerdo de la Mesa en virtud del cual esta Cámara se personaba en el proceso, ofreciendo igualmente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19 de febrero de 2013 se registró en el Tribunal el escrito del Presidente de la Asamblea de Madrid, informando del acuerdo del Pleno de la Asamblea de Madrid por el que se persona en el proceso, designando los Letrados que habrán de formular alegaciones en el mismo y adjuntando el escrito de éstos, en el que se interesa la íntegra desestimación del recurso. El 20 de febrero se registra en el Tribunal una copia del citado acuerdo, de 14 de febrero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mismo día 19 de febrero tiene entrada en el Tribunal el escrito de alegaciones de la Letrada de la Comunidad de Madrid, en la representación que ostenta, por el que solicita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20 de febrero de 2013, el Pleno del Tribunal acuerda oír a las partes personadas —Abogado del Estado y representaciones legales de la Comunidad de Madrid y de la Asamblea de Madrid— para que, en el plazo de cinco días, expongan lo que a su derecho convenga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 de marzo de 2013 se registra en el Tribunal el escrito de la representación legal de la Asamblea de Madrid, en el que se formulan las siguientes alegaciones en favor del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escrito afirmando la naturaleza excepcional que tiene el mantenimiento de la suspensión de las leyes de las Comunidades Autónomas que hayan sido impugnadas ante este Tribunal, con cita de algunas Sentencias. A continuación, se afirma que recae sobre el Gobierno la carga de invocar y probar la existencia de los perjuicios que se derivarían del mantenimiento de la suspensión, por lo que a esta parte corresponde defender, mediante la ponderación de los intereses en juego, la falta de afectación a los mismos.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Recoge, a continuación, el tenor literal de todos los preceptos que regulan la “tasa por prestación de servicios administrativos complementarios de información, con ocasión de la emisión de recetas médicas y órdenes de dispensación, por los órganos competentes de la Comunidad de Madrid”, que aquí se impugna (arts. 530 a 535 del texto refundido).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relación con el art. 530, afirma que el precepto no lesiona intereses generales, toda vez que responde al principio de que las tasas siguen al servicio, siendo así que los servicios administrativos complementarios de información que la misma financia son prestados por los órganos autonómicos correspondientes y entran dentro de su competencia, tal y como se deduce del art. 7.1 de la Ley Orgánica 8/1980, de 22 septiembre, de financiación de las Comunidades Autónomas (LOFCA). Estos servicios administrativos redundan en beneficio directo del paciente, lo que impide sostener que el precepto lesione intereses particulares o de terceras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art. 531 del texto refundido, en el que se contienen las exenciones del pago de la tasa, no lesiona intereses sino que los salvaguarda, ya que la regulación de las exenciones atempera el esfuerzo fiscal para aquellas personas a las que les sea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regulación del sujeto pasivo de la tasa, contenida en el art. 532, está vinculado y es coherente con el hecho imponible del tributo, por lo que no se lesionan intereses particulares ya que, se sigue el principio del coste del servicio, y se persigue la coincidencia entre el paciente o usuario de los servicios prestados y el sujeto pasivo de la tasa.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cuanto a la cuota del tributo, recogida en el art. 533, refiere el escrito algunos datos, en particular que, una vez excluidas las exenciones, la tasa se aplicaría con ocasión de la emisión de un número de recetas, que se estima ascendería a 81.511.733 euros. Pues bien, el detalle de los costes de servicio, por los conceptos que figuran en la memoria de la norma, totaliza una cantidad estimada en 81.514.895 euros. Se cumple así con el principio del costo del servicio que impone el art. 7.3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Reitera finalmente los argumentos en contra de la posible lesión de intereses por parte de la citada tasa tras recoger el tenor literal de los arts. 534 y 535 del texto refundido.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refiere seguidamente el escrito a la ausencia de perjuicio de imposible o difícil reparación, dado que en todo caso dichos perjuicios serían siempre únicamente de carácter económico, y por tanto evaluables y reparables. Desde la perspectiva de los titulares de las oficinas de farmacia, tampoco habría ningún perjuicio toda vez que el efecto económico de la nueva tasa es neutral para dichos establecimientos. En todo caso, de producirse algún perjuicio, sería de naturaleza económica y por ello susceptible de reparación. Finalmente se refiere a los perjuicios que se podrían ocasionar a la hacienda pública de la Comunidad de Madrid, afirmando que el levantamiento de la suspensión de la norma no causaría perjuicio alguno, sino que es el mantenimiento de dicha suspensión lo que le ocasiona perjuicio, ya que dicha hacienda se ve privada de los ingresos que la tasa le reportaba. Se refiere, en ese punto, a la necesidad de incrementar los ingresos, en el contexto del cumplimiento de la estabilidad presupuestaria, tras la reforma del art. 135 CE, afirmando que sería de muy difícil reparación el perjuicio que se ocasionaría a la hacienda pública de ratificarse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mismo 1 de marzo de 2013 tiene entrada el escrito del Abogado del Estado, en nombre del Presidente del Gobierno, presentando sus alegaciones sobre la suspensión de la Ley recurrida, interesando la denegación de la solicitud de su alzamiento anticipado y el mantenimiento de la suspensión de los preceptos legales recurridos, en atención a las razones que se resumen a continuación, y que como se afirma en el propio escrito, son parcialmente similares a las formuladas en relación con el recurso de inconstitucionalidad núm. 7208-2012, promovido por la Presidenta del Gobierno en funciones contra los arts. 16 y 41 de la Ley del Parlamento de Cataluña 5/2012, de 20 de marzo, de medidas fiscales, financieras y administrativas y de creación del impuesto sobre estancias en establecimientos turísticos, que estableció, entre otras, una “tasa sobre los actos preparatorios y los servicios accesorios de mejora de la información inherentes al proceso para la prescripción y dispensación de medicamentos y productos sanitarios mediante la emisión de recetas médicas y órdenes de dispensación”.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refiere en primer lugar a la reiterada doctrina sobre los incidentes de suspensión, que exige tanto ponderar los intereses afectados, como los perjuicios de imposible o difícil reparación, con cita de las SSTC 108/2011, de 15 junio y 161/2012, de 13 septiembre,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afirma no desconocer que en ocasiones se ha otorgado prevalencia al interés recaudatorio, máxime cuando dicho interés está enlazado con la suficiencia financiera y la solvencia autonómica. Sin embargo, considera que en este asunto concurren especiales circunstancias que excluyen la aplicación de esta doctrina. En concreto considera que no es de aplicación la doctrina de los AATC 95/2011, de 21 de junio; 96/2011, de 21 de junio; 147/2012, de 16 de julio, y 238/2012, de 12 de diciembre, pues todas estas resoluciones se refieren a medidas de contención del déficit que se enderezan a la reducción del coste de la prestación farmacéutica financiada por la Comunidad Autónoma. Aquí, por el contrario, nos encontramos ante una tasa que deben pagar los beneficiarios de esa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a pesar de la cuantía de la tasa autonómica recurrida, puede constituir una barrera de acceso a la prestación farmacéutica de los usuarios con menores recursos y más necesitados de medicamentos recetados, puesto que la tasa se suma a la aportación (“copago”) que deben hacer con arreglo a las normas generales. La gravedad de esta barrera de acceso se percibe en sus justos términos si se tienen en cuenta, como señala el informe de la Dirección General de Cartera Básica de Servicios del Sistema Nacional de Salud y Farmacia (documento adjunto número uno), los siguientes extremos: (i) la tasa del euro por receta penaliza especialmente a la población más vulnerable, como a los más enfermos (necesitan más recetas), y a los pensionistas, colectivos éstos ya suficientemente castigados por concentrar mayor necesidad de cuidados sanitarios y de protección especial por los poderes públicos y cuyo poder adquisitivo es, a todas luces, claramente menor que en la población activa de menor edad. En torno al 70 por 100 de las recetas dispensadas lo son a pensionistas, y es conocido que casi el 80 por 100 del consumo de recursos sanitarios se produce en mayores de 65 años; (ii) es una tasa de carácter lineal, que no tiene en consideración criterios de equidad como el nivel de renta, la situación laboral o el estado de salud, ni establece topes de aportación que pudieran limitar las repercusiones económicas negativas en estos grupos desfavorecidos; (iii) el efecto se agrava al sumarse la tasa madrileña al copago farmacéutico establecido por el legislador estatal. Por tanto, haciendo uso de una competencia que no tienen las Comunidades Autónomas, se está penalizando a los ciudadanos con un coste adicional sobre el mismo acto sanitario, que además no tiene en cuenta los factores que determinan la necesidad de medicación, edad y enfermedad, ni la capacidad económica del mismo. Se paga lo mismo, un euro, independientemente del precio del fármaco; (iv) en el caso de la tasa madrileña, no ha habido tiempo todavía para apreciar los efectos del euro por receta sobre el número de recetas expedido y el gasto farmacéutico, dado que sólo ha estado vigente durante dos meses. Sin embargo, es razonable suponer que no diferirán de los constatados en Cataluña donde como se señaló en el citado recurso de inconstitucionalidad núm. 7208-2012 la reducción de las recetas se habría producido porque, al sumar la tasa, en algunos casos sale más económico comprar el medicamento sin receta. Esto tiene un claro efecto perverso: el de inducir a la auto-medicación y a no acudir a los servicios médicos y retirar directamente la medicación en tratamientos financiados que requieren seguimiento médico. De esta forma, se impide el seguimiento del cumplimiento de los tratamientos por los pacientes que retiran los fármacos sin receta, perdiendo el médico la información sobre el seguimiento del tratamiento que aporta la receta oficial, uno de los mayores avances derivados de la implantación de la receta electrónica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suma de estas cuatro circunstancias hace que el riesgo para la salud del levantamiento de la suspensión de la tasa sea cierto y concentrado precisamente en quienes más necesidad tienen de la asistencia farmacéutica (ATC 221/2009, de 21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riesgos para la salud que pudieran ocasionarse de levantarse la suspensión resultan ciertamente irreparables. Pero la dificultad de reparación también se aprecia en los perjuicios económicos que van a soportar los usuarios de la sanidad pública, por la “dificultad de deshacer las situaciones creadas” (AATC 87/2012, de 10 de mayo, FJ 3; y 161/2012, de 13 de septiembre, FJ 3). Por el propio modo de cobrar la tasa, al dispensar el farmacéutico el medicamento recetado, minorando la factura que la farmacia pasa al Servicio Madrileño de Salud, será virtualmente imposible —en el caso típico— la restitución al beneficiario de la prestación farmacéutica de la tasa cobrada durante el tiempo de pendencia del presente proceso, si al final se declarara inconstitucional y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tampoco se aprecian efectos favorables para el Sistema Nacional de Salud que supongan una mayor eficacia en la gestión del gasto farmacéutico. En efecto, como resulta del anexo I del informe anteriormente citado: (i) durante el tiempo de vigencia de la tasa controvertida ha habido Comunidades que, sin imponer tasa alguna, han sido más eficaces en la gestión del gasto farmacéutico, simplemente mediante la plena implementación de las normas básicas estatales. (ii) Además, es posible que en Madrid suceda lo mismo que ha tenido lugar en Cataluña, donde como se afirmó en el anterior recurso de inconstitucionalidad núm. 7208-2012 mientras se aprecia una reducción del número de recetas, sin embargo en Cataluña ha aumentado el gasto medio por receta respecto del resto de España, pudiendo encontrarse la explicación en que en aquella Comunidad se habría desviado la prescripción hacia medicamentos más caros para evitar pagar el euro en medicamentos más baratos, en los que compensa su compra fuera de receta (anexo III del anexo I). (iii) Por último, se ha evidenciado a través de los medios de comunicación y denuncias el efecto frontera, es decir, la desviación hacia farmacias de ayuntamientos limítrofes con Madrid de otras Comunidades Autónomas. Por tanto, se trata de recetas pagadas por otros servicios de salud. No es posible conocer en qué casos la disminución de recetas producida en Cataluña se debe a que en realidad han sido dispensadas en farmacias de otras Comunidades Autónomas y que, por tanto, no supone un ahorro real, sino que es una desviación hacia las cuentas de otros servicios de salud de los españoles. Este efecto frontera, empujando a la retirada de los fármacos en las farmacias de las Comunidades Autónomas limítrofes, incrementa el gasto farmacéutico de éstas, y por tanto genera que con los recursos de la sanidad de Castilla-La Mancha o Castilla y León se estén pagando los medicamentos de la sanidad madrileña.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1 de marzo de 2013 se registra en el Tribunal el escrito de alegaciones que presenta la Letrada de la comunidad de Madrid, en la representación que legalmente ostenta.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con unas consideraciones generales sobre el incidente cautelar de suspensión, que parte de la existencia de una presunción general de validez de los actos y disposiciones de los poderes públicos, como ha reiterado este Tribunal en su jurisprudencia. Recalca además que la regla general es el levantamiento de la suspensión y recoge la doctrina sobre la ponderación de los perjuicios, precisando que aquellos perjuicios de naturaleza económica o patrimonial tienen carácter 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concreto sobre la ponderación de los intereses afectados por la norma impugnada, considera que se dan las circunstancias para que el Tribunal alce la suspensión, ya que no existen en este supuesto perjuicios de difícil o imposible reparación. Por lo que respecta, en primer lugar, al interés general, nos hallamos ante un acto ajeno a las prestaciones sanitarias, de manera que la aplicación práctica de la tasa no incide en el acceso de los ciudadanos al medicamento, es decir a la prestación farmacéutica, y por lo tanto no afecta a su derecho a la protección de la salud. En concreto afirma que en cualquier oficina de farmacia radicada en el territorio de la comida Madrid toda persona a la que se haya prescrito un medicamento ha obtenido la dispensación del mismo, previo pago de su precio, “con independencia del abono o no de la tasa devengada como consecuencia de la obtención de los servicios complementarios de información que comprende su hecho imponible”. En concreto, y como se acreditaría con el certificado expedido por el Director general de gestión económica y de compras de productos sanitarios y farmacéuticos del Servicio Madrileño de Salud de 11 febrero 2013, el número de recetas en las que el paciente se ha negado al pago de la tasa, durante el periodo de vigencia de la misma, esto es, del 1 al 29 enero 2013, ha sido de 1.008.227. En todos esos casos el medicamento ha sido dispensado lo que evidencia el deslinde entre la prestación farmacéutica y los servicios gravados con la tasa.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a continuación el escrito que la vigencia de la medida no contraviene el derecho a la igualdad, pues se enmarca en los arts. 156 y 157 CE, preceptos que reconocen a las Comunidades Autónomas la posibilidad de obtener recursos a través del establecimiento de tasas sobre servicios de su competencia. Se refiere a continuación a la doctrina de este Tribunal sobre la igualdad ante la ley, con cita de las SSTC 61/1997 y 37/1981,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que para la Comunidad Madrid se derivarían del mantenimiento de la suspensión, se refiere a la situación de grave crisis económica, a la necesidad de cumplir con la estabilidad presupuestaria, y a la caída de ingresos que provienen del sistema de financiación y que supone una pérdida para la Comunidad de Madrid de alrededor de 1.000 millones de euros para el ejercicio 2013, derivados de la, a su juicio, defectuosa aplicación del sistema de financiación.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al interés particular de los sujetos pasivos de la tasa, se refiere en primer lugar a que se establece un tope económico máximo, de manera que ninguna persona estará obligada a pagar más de 71 euros al año, sin perjuicio de los numerosos supuestos de exención establecidos en la norma reguladora, lo que determina que nadie se verá obligado a hacer un esfuerzo desproporcionado.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sistema de gestión informatizada del servicio madrileño de salud permite la perfecta identificación de las personas que han abonado tributo, a efectos en su caso de la correspondiente devolución. Hay, por tanto, mecanismos que posibilitan la reparación de los perjuicios causados a los intereses de los particulares, dado que estos perjuicios son evaluables y las personas afectadas se encuentran plenamente identificadas.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Concluye el escrito con una referencia a la presunción de constitucionalidad de las leyes que ha sido consagrada en la doctrina de este Tribunal, citándose en ese sentido diversas sentencias, entre otras la STC 66/1985, de 23 de mayo.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al art. 2, apartado 9, de la Ley de la Asamblea de Madrid 8/2012, de 28 de diciembre, de medidas fiscales y administrativas, que modifica el texto refundido de la Ley de tasas y precios públicos de la Comunidad de Madrid, aprobado por Decreto Legislativo 1/2002, de 24 de octubre (en adelante texto refundido). La aplicación de este precepto se encuentra suspendida, como consecuencia de la invocación del art. 161.2 CE, al promoverse el recurso de inconstitucionalidad contra los mismos por la Presidenta del Gobierno en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recurrido crea, dentro del título IV del texto refundido, un nuevo capítulo CVII, en cuyos arts. 530 a 535 se regula la “tasa por prestación de servicios administrativos complementarios de información, con ocasión de la emisión de recetas médicas y órdenes de dispensación, por los órganos competentes de la Comunidad de Madrid”, que el Gobierno impugna por considerar que se vulnera la legislación básica estatal en materia de sanidad, dictada ex art. 149.1.16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tasa controvertida tiene una regulación sustantivamente similar a la establecida por la Generalitat de Cataluña, mediante el art. 41 de la Ley del Parlamento de Cataluña 5/2012, de 20 de marzo, de medidas fiscales, financieras y administrativas y de creación del impuesto sobre estancias en establecimientos turísticos, precepto que estableció la denominada “tasa sobre los actos preparatorios y los servicios accesorios de mejora de la información inherentes al proceso para la prescripción y dispensación de medicamentos y productos sanitarios mediante la emisión de recetas médicas y órdenes de dispensación”. Dicha tasa fue también impugnada por el Gobierno de la Nación en el recurso de inconstitucionalidad núm. 7208-2012, y en el ATC 122/2013, de 21 de mayo, acordamos mantener la suspensión de su vigencia. Por tanto, la misma respuesta habrá de darse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similitud entre ambas tasas se advierte tras contrastar sus elementos esenciales. Así, la tasa establecida por la Comunidad de Madrid tiene como hecho imponible la prestación de determinados servicios administrativos “con ocasión de la emisión de recetas médicas y órdenes de dispensación” (art. 530 del texto refundido), mientras que la establecida por Cataluña resulta exigible por “los actos preparatorios y los servicios accesorios de mejora de la información inherentes al proceso para la prescripción y dispensación de medicamentos y productos sanitarios mediante la emisión de recetas médicas y órdenes de dispensación” (art. 21.22-1 del texto refundido de la Ley de tasas y precios públicos de la Generalitat de Cataluña). Los sujetos pasivos son también coincidentes, pues en el caso de Madrid es “la persona física a la que se prescribe un medicamento o producto sanitario documentado en una receta médica u orden de dispensación” (art. 532.1), mientras que en el catalán, es “la persona física a la que se prescribe y se dispensa un medicamento o producto sanitario, que es documentada en la receta médica u orden de dispensación correspondiente” (art. 21.22-2 del texto refundido). También coinciden el resto de elementos esenciales, como algunos de los supuestos de exención (para la tasa catalana, previstos en el art. 21.22-5 del texto refundido; y para la madrileña, art. 531) y, fundamentalmente, el tipo de gravamen, que asciende a un euro por receta en ambos casos (respectivamente, arts. 21.22-4 y art. 533), siendo también idéntico el devengo, que será el momento de la dispensación de la receta correspondiente a un medicamento.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también sustancialmente coincidentes los argumentos esgrimidos por el Abogado del Estado para defender el mantenimiento de la suspensión, tal y como se hace constar en el propio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en consecuencia, trasladar aquí las consideraciones que hicimos en el citado Auto, sin que haya razones que justifiquen una conclusión distinta a la alcanzada por este Tribunal en relación a la tasa establecida por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y como afirmamos en el fundamento jurídico 2 del citado ATC 122/2013, debemos partir de nuestra doctrina “según la cual, para decidir acerca del mantenimiento o levantamiento de la suspensión acordada por invocación del art. 161.2 CE,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y 60/2013, de 26 de febrero,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los intereses en liza, afirmamos en el fundamento jurídico 5 a) del ATC 122/2013, con cita de otros anteriores, la necesidad de que en este caso se ponderen “de una parte, ‘la sostenibilidad del sistema sanitario público [que]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(ATC 95/2011, de 21 de junio, FJ 5; en el mismo sentido, AATC 96/2011, de 21 de junio, FJ 6; 147/2012, de 16 de julio, FJ 6; 238/2012, de 12 de diciembre, FJ 3; 239/2012, de 12 de diciembre, FJ 6)”. Y, de otra parte, “el interés general de preservar el derecho a la salud consagrado en el art. 43 CE”, contraposición que “también tiene proyecciones individuales puesto que la garantía del derecho a la salud no sólo tiene una dimensión general asociada a la idea de salvaguarda de la salud pública, sino una dimensión particular conectada con la afectación del derecho a la salud individual de las personas receptoras de las medidas adoptadas por los Gobiernos estatal y autonómico”, de modo tal que, “para que este Tribunal pueda valorar los intereses vinculados a la garantía del derecho a la salud, es preciso acudir a lo dispuesto en el art. 43 CE, en relación con el deber de todos los poderes públicos de garantizar a todos los ciudadanos el derecho a la protección de la salud, cuya tutela les corresponde y ha de ser articulada ‘a través de medidas preventivas y de las prestaciones y servicios necesarios (art. 43.1 y 2 CE)’ (STC 126/2008, de 27 de octubre, FJ 6)”. Y finalmente, “si, además del mandato constitucional, se tiene en cuenta, como ya lo ha hecho este Tribunal, la vinculación entre el principio rector del art. 43 CE y el art. 15 CE que recoge el derecho fundamental a la vida y a la integridad física y moral, en el sentido de lo reconocido por el Tribunal Europeo de Derechos Humanos (por todos, asunto VO c. Francia de 8 de julio de 2004), resulta evidente que los intereses generales y públicos, vinculados a la promoción y garantía del derecho a la salud, son intereses asociados a la defensa de bienes constitucionales particularmente sensibles’ (ATC 239/2012, de 12 de diciembre, FJ 5)” [ATC 122/2013, FJ 5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estos intereses, el Abogado del Estado alega que, a pesar de la reducida cuantía de la tasa (un euro por receta), puede ésta erigirse en barrera que impida el acceso a la prestación farmacéutica de los usuarios con menos recursos y mayores necesidades, puesto que se suma a la aportación (“copago”) regida por la legislación estatal, lo que puede suponer riesgos irreparables para la salud, riesgos concentrados en quienes tienen mayor necesidad de la asistencia farmacéutica.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y como afirmamos en el citado ATC 122/2013, FJ 5 a), en relación con la tasa catalana, “desde la perspectiva cautelar propia de este incidente, procede descartar que pueda justificarse en esta alegación el mantenimiento de la suspensión, ya que, como hemos señalado con anterioridad, ‘el perjuicio económico que, para el objetivo de control del déficit supondría el levantamiento de la suspensión parece claro, no puede quedar desvirtuado por el efectivo perjuicio que pudiera derivarse para los individuos usuarios del sistema de salud, al incrementarse el porcentaje de copago’ (ATC 239/2012, de 12 de diciembre, FJ 6). Sensu contrario al supuesto examinado en el mismo Auto y fundamento jurídico, pero con idéntica razón de decidir, tampoco ahora cabe apreciar una reducción de la calidad y eficacia de la prestación farmacéutica que revierta en una lesión del derecho a la protección de la salud, puesto que los argumentos relativos a la adherencia al tratamiento y al impacto económico de la norma autonómica sobre los pensionistas se formulan con un carácter marcadamente hipotético que en ningún momento se concretan ni justifican”. Consideraciones estas que procede trasladar íntegramente a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los motivos que sustentan la petición de mantenimiento de la suspensión de la “tasa por prestación de servicios administrativos complementarios de información, con ocasión de la emisión de recetas médicas y órdenes de dispensación, por los órganos competentes de la Comunidad de Madrid”, afirmamos en el citado Auto de 21 de mayo de 2013 que “la dificultad de reparación se aprecia también por el Abogado del Estado en los perjuicios económicos que van a soportar los usuarios, por la ‘dificultad de deshacer las situaciones creadas’ (AATC 87/2012, de 10 de mayo, FJ 3 y 161/2012, de 13 de septiembre, FJ 3), ya que, al cobrarse la tasa en el momento de dispensar el medicamento recetado, sería virtualmente imposible la restitución al beneficiario de la prestación farmacéutica de la tasa cobrada durante el tiempo de pendencia del presente proceso, en la eventualidad de que fuera declarada inconstitucional y nula” [ATC 122/2013,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sucede aquí, ya que el hecho imponible de la tasa está asociado a la prescripción y dispensación de medicamentos y productos sanitarios mediante la emisión de recetas médicas, de manera que también el número de sujetos pasivos afectados, por mucho que pudieran ser identificados a través de la trazabilidad inherente al sistema de receta electrónica, tendría carácter masivo. Ello evidencia, como sucedía en el caso de la tasa establecida por la Generalitat de Cataluña, no sólo el carácter excesivamente oneroso de las cargas, molestias y costes que, en su caso, conllevarían para los sujetos pasivos las operaciones de devolución de las cantidades ya ingresadas, sino también para la propia Administración autonómica, que se vería obligada a arbitrar un procedimiento de devolución individualizado con unos costes de gestión que, incluso, podrían llegar a superar la cuantía recaudada por la propia exacción de la tasa.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Concurre así una dificultad de reparación que justifica el mantenimiento de la suspensión, ya que el número de sujetos pasivos afectados tendría igualmente carácter masivo, como se desprende además del propio escrito presentado por la representación legal de la Asamblea de Madrid, que considera que la tasa se aplicaría con ocasión de la emisión de un número de recetas cuyo importe total se estima que pueda ascender a 81.511.733 euros.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vigencia del art. 2, apartado 9, de la Ley de la Asamblea de Madrid 8/2012, de 28 de diciembre, de medidas fiscales y administrativas, que modifica el texto refundido de la Ley de tasas y precios públicos de la Comunidad de Madrid, aprobado por Decreto Legislativo 1/2002, de 24 de octubre y crea dentro del título IV, un nuevo capítulo CVII, en cuyos arts. 530 a 535 se regula la “tasa por prestación de servicios administrativos complementarios de información, con ocasión de la emisión de recetas médicas y órdenes de dispensación, por los órganos competentes de la Comunidad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