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8 de julio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3194-2008, planteado por el Consejo de Gobierno de la Comunidad de Madrid contra el apartado 12.1 del artículo único del Real Decreto 14/2008, de 11 de enero, por el que se modifica el Real Decreto 801/2005, de 1 de julio, que aprueba el plan estatal 2005-2008 para favorecer el acceso de los ciudadanos a la vivienda. Ha formulado alegaciones el Abogado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abril de 2008 tiene entrada en el Registro General de este Tribunal escrito del Letrado de la Comunidad de Madrid, en la representación que legalmente ostenta del Consejo de Gobierno, promoviendo conflicto positivo de competencia contra el apartado 12.1 del artículo único del Real Decreto 14/2008, de 11 de enero, por el que se modifica el Real Decreto 801/2005, de 1 de julio, que aprueba el plan estatal 2005-2008 para favorecer el acceso de los ciudadanos a la vivienda. Solicita declaración de inconstitucionalidad y nulidad por extralimitación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tras explicar los antecedentes, se refiere a los requisitos procesales para interponer el conflicto, al contenido de la norma impugnada y a los títulos competenciales involucrados. Aprecia que la nueva redacción del art. 33.5 del Real Decreto 801/2005 conlleva una modificación de las competencias de gestión o control que los órganos competentes de las Comunidades Autónomas, o de las ciudades de Ceuta y Melilla, ejercen cuando los titulares de viviendas protegidas para alquiler deciden enajenarlas. La regulación derogada exigía el cumplimiento de determinadas condiciones fijadas por el órgano autonómico competente y la autorización administrativa. En cambio, la nueva regulación sólo requiere notificar previamente la enajenación al órgano autonómico. Para el Letrado autonómico la aludida modificación desconoce las competencias exclusivas que corresponden estatutariamente a la Comunidad Autónoma de Madrid en materia de vivienda y, en consecuencia, supone una trasgresión del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refiere a la competencia exclusiva estatal sobre las bases y coordinación de la planificación general de la actividad económica (art. 149.1.13 CE), que la disposición final primera del Real Decreto 14/2008 invoca como fundamento de la reforma. Partiendo de la doctrina constitucional, afirma que esta competencia carece de valor prevalente sobre otros títulos autonómicos, no puede conducir al vaciamiento de competencias de la Comunidad Autónoma y debe ser objeto de una interpretación restrictiva. Sólo así puede garantizarse la vigencia del sistema de distribución competencial establecido en la Constitución y en los Estatutos de Autonomía (SSTC 188/1989, de 16 de noviembre; 171/1996, de 20 de octubre y 133/1997, de 16 de julio;). La nueva regulación del art. 33.5 del Real Decreto 801/2005, de 1 de julio, se basaría de este modo en un título genérico, de interpretación restrictiva y concurrente con la competencia exclusiva específica sobre vivienda de la Comunidad de Madrid (art. 26.1.4 de su Estatuto de Autonomía), que incluye las potestades tanto de regulación como de ejecución (art. 26.2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estas bases, el Letrado considera que ni la sustitución del régimen de autorización por el de la notificación previa, ni la relajación consecuente de los requisitos para la enajenación de las viviendas de protección oficial para alquiler, podrían reconducirse a ninguno de los cuatro que, conforme a la STC 152/1988, corresponden a la competencia estatal del art. 149.1.13 CE: la definición misma de las actuaciones protegibles; las fórmulas para su financiación; el nivel de protección que se intenta alcanzar u ofrecer en cada caso; la aportación de recursos estatales para la ejecución de las correspondientes actuaciones. Para la demanda, es sintomático que el preámbulo del Real Decreto 14/2008 justifique específicamente varios preceptos, pero no la reforma que aquí se controvierte. Ni siquiera del contenido del articulado cabría derivar justificación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destaca, además, que la Comunidad de Madrid, al ejercer sus competencias de control y gestión, había optado por exigir autorización para la enajenación de las viviendas protegidas para alquiler a nuevos titulares, incluidos sociedades o fondos de inversión inmobiliaria. La regulación estatal habría pues laminado las competencias de gestión que venía ejerciendo la Comunidad de Madrid, pues “nada tienen que ver las posibilidades de fiscalización que para el órgano competente implican un régimen de control de autorización previa con unas determinadas condiciones, con las derivadas de un régimen de control de mera notificación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22 de mayo de 2008, el Pleno, a propuesta de la Sección Primera de este Tribunal, acuerda admitir a trámite el presente conflicto positivo de competencia; atribuir su conocimiento a la Sala Primera en virtud del art. 10.2 de la Ley Orgánica del Tribunal Constitucional (LOTC); dar traslado de la demanda y documentos presentados al Gobierno de la Nación para que en el plazo de veinte días aporte cuantas alegaciones y documentos considere convenientes. Igualmente, comunicar la incoación del presente conflicto a la Sala de lo Contencioso-Administrativo del Tribunal Supremo, por si ante ella estuviera impugnado o se impugnare el citado precepto, en cuyo caso se suspenderá el curso del proceso hasta la decisión del conflicto, según dispone el art. 61.2 LOTC; así como publicar la incoación del conflicto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el Registro General del Tribunal el 29 de mayo de 2008 el Abogado del Estado solicita una prórroga del plazo concedido por el máximo legal dada la acumulación de asuntos que penden del servicio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mayo de 2008, la Sala Primera del Tribunal Constitucional acuerda tener por personado al Abogado del Estado en la representación que legalmente ostenta y prorrogar en diez días más el plazo concedido por providencia de 22 de mayo de 2008, a contar desde 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del Tribunal el 7 de julio de 2008 el Abogado del Estado formula alegaciones interesando la desestimación del conflicto. Alega que el Real Decreto 14/2008 se dicta, según se desprende de su exposición de motivos y de su disposición final primera, al amparo de la competencia exclusiva reservada al Estado en materia de bases y coordinación de la planificación general de la actividad económica (art. 149.1.13 CE). El objeto de este real decreto es mejorar la regulación de algunos aspectos del plan estatal de vivienda 2005-2008, a la vista de la experiencia adquirida a través de su ejecución. Trata de “perfilar más aún aquellas modalidades de actuaciones protegidas y ayudas económicas estatales directas que pueden contribuir en mayor medida a fortalecer y diversificar los mercados tanto de propiedad como de alquiler acogidos a protección pública, de forma congruente con el interés prioritario por parte del Ministerio de Vivienda en este ámbito de los mercados de vivienda” (exposición de motivos del Real Decreto 14/2008).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recuerda que el carácter exclusivo de las competencias autonómicas no puede servir de fundamento para restringir las competencias exclusivas que la Constitución reserva al Estado. Las primeras deben ejercerse “dentro del marco establecido en la Constitución” [art. 147.2 d) CE y SSTC 37/1981, FJ 1; 5/1982, FFJJ 1 y 2; y 38/2002, FJ 7, entre otras]. Las competencias estatales previstas en los números 1 y 13 del art. 149.1 CE suponen, en particular, una importante matización —desde la necesaria interpretación de los preceptos estatutarios a la luz de la Constitución (STC 247/2007, FFJJ 8, 9 y 10)— de la exclusividad de la competencia autonómica en materia de vivienda. Resulta evidente, por tanto, que la competencia exclusiva autonómica no impide en este caso que el Estado desarrolle con perspectiva nacional todo un programa de ayudas para facilitar el acceso de los ciudadanos a la vivienda. Lo justifica la estrecha relación entre la actividad promocional y rehabilitadora de la vivienda, por un lado, y la política económica general, por otro, en razón del efecto multiplicador que el impulso del sector de la construcción tiene para el progreso económico y la generación de empleo (exposición de motivos del Real Decreto 801/2005).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al art. 47 CE, relativo a la promoción de las condiciones necesarias para hacer efectivo el derecho de todos los españoles a una vivienda digna y adecuada. Se trata de un principio rector de la política social y económica que, al informar la actuación de los poderes públicos (art. 53.3 CE), impediría interpretar los estatutos de autonomía en el sentido de que sólo las Comunidades Autónomas pueden programar medidas con el fin de impulsar la oferta de viviendas asequibles para los ciudadanos. Esta programación constituye un elemento esencial de la política económica que ha de abordarse necesariamente desde una perspectiva supracomunitaria y con ponderación de los intereses nacionales. A su vez, el art. 149.1.1 CE asigna al Estado la regulación de las condiciones básicas que garanticen la igualdad de todos los españoles en el ejercicio de sus derechos, debiendo incluirse entre estos el consagrado en el art. 47 CE. De este modo resulta innegable que constituyendo un aspecto fundamental para la ordenación y planificación del sector de la vivienda las actuaciones dirigidas a promocionar viviendas protegidas de nueva construcción para arrendar, deben conjugarse la competencia estatal de bases y coordinación de la planificación general de la actividad económica (art. 149.1.13 CE) con las competencias autonómicas. Para el Abogado del Estado el principio constitucional de unidad económica es determinante a la hora de juzgar el presente conflicto; lo justifica la articulación de las competencias estatales y autonómicas en materia de vivienda, que tienen carácter concurrente.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destaca a continuación que el estímulo de la demanda de alquiler constituye un objetivo claramente definido entre las prioridades estatales en materia de política económica general; así lo apreció el legislador. Trataba de evitar que una demanda enfrentada a una oferta reducida y desincentivada incrementase los precios del alquiler de manera desproporcionada; en consecuencia, podría fracasar la política estatal en esta materia con la consiguiente frustración de las expectativas de los ciudadanos que necesitan esta fórmula de alojamiento. Por tal razón, la norma impugnada modifica el régimen de intervención administrativa sobre la enajenación de viviendas protegidas para alquiler, sin que el Estado se haya reservado funciones ejecutivas que pudieran entrar en conflicto con las competencias autonómicas. La fijación de una determinada modalidad de intervención administrativa en un concreto sector constituye una medida de carácter indudablemente normativo; expresa una opción político-legislativa adoptada en el marco de la libertad de configuración que la Constitución atribuye al Estado. Al tratarse de una regulación que incide sobre la actividad económica, el Estado puede establecerla con carácter básico al amparo de su competencia en materia de ordenación general de la economía. En consecuencia, el apartado 12.1 del artículo único del Real Decreto 14/2008 no restringiría las competencias ejecutivas de las Comunidades Autónomas, a las que continuarían correspondiendo en exclusiva las funciones de supervisión y control de las enajenaciones. Por lo demás, la reforma garantiza el adecuado ejercicio de esas funciones al obligar en todo caso a notificar la transacción antes de que llegue a materializarse.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discrepa de la opinión del demandante de que resulta imposible reconducir la reforma controvertida a los aspectos relacionados en el fundamento jurídico 4 de la STC 152/1988, de 20 de julio, sobre los que podría incidir la actividad estatal de fomento. Señala que la nueva regulación no constituye propiamente un régimen de financiación en el sector de la vivienda, pero la forma de protección a que se refiere el citado fundamento jurídico como segundo aspecto no sería necesariamente una regulación esencial de fórmulas de financiación; se corresponde en este caso con una determinada fórmula de coordinación de competencias concurrentes. El nuevo régimen de intervención administrativa se hallaría pues suficientemente justificado, si se tiene en cuenta que, en línea con la política de liberalización del mercado del alquiler que se persigue, la notificación previa constituye sin duda una técnica de intervención más idónea que la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Debería tenerse en cuenta, además, que la flexibilización pretendida tiene un carácter transversal para todas las Comunidades Autónomas y ciudades con estatuto de autonomía que colaboran con el plan 2005-2008. Su objetivo es garantizar un mínimo de uniformidad, evitando que la diversidad de procedimientos según el territorio de que se trate suponga un obstáculo para las actuaciones de los promotores. También por esta razón el precepto objeto del presente conflicto se encontraría amparado por la competencia estatal del art. 149.1.13 CE que abarca todas aquellas acciones que resulten imprescindibles para alcanzar tal objetivo de carácter supraautonómico.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4 de julio de 2013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de Gobierno de la Comunidad de Madrid plantea el presente conflicto positivo de competencias en relación con el régimen de intervención administrativa en la enajenación de viviendas protegidas para alquiler establecido en el art. 33.5 del Real Decreto 801/2005, de 1 de julio, por el que se aprueba el plan estatal 2005-2008 para favorecer el acceso de los ciudadanos a la vivienda, en la redacción dada por el apartado 12.1 del artículo único del Real Decreto 14/2008, de 11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anterioridad a la modificación, el art. 33.5 del Real Decreto 801/2005 establecía: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titulares de las viviendas protegidas para alquiler podrán enajenarlas a nuevos titulares, siempre que se trate de sociedades que incluyan en su objeto social el arrendamiento de viviendas, incluyendo sociedades o fondos de inversión inmobiliaria. La enajenación será por promociones completas, según proceda de acuerdo con la normativa aplicable, en cualquier momento del período de vinculación a dicho régimen de uso, sin sujeción a los precios legales máximos de referencia establecidos en el artículo 32.1 de este Real Decreto, previa autorización, y en las condiciones fijadas por parte del órgano competente de las Comunidades Autónomas o de las Ciudades de Ceuta y Melilla.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titulares promotores podrán: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Retener la gestión de las promociones enajenadas, con la obligación, en todo caso, por parte de los compradores, de atenerse a las condiciones, compromisos, plazos y rentas máximas establecidos en este Real Decreto, subrogándose en sus derechos y obligaciones y pudiendo subrogarse, total o parcialmente, en la financiación cualificada que hubieran obtenido los promotores.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Ceder la gestión de las mismas a organismos públicos, entidades sin ánimo de lucro, o a sociedades que incluyan en su objeto social el arrendamiento de viviendas, con la obligación, por parte de los gestores, de atenerse a las condiciones, compromisos, plazos y rentas máximas establecidos en este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entrada en vigor de la reforma, la redacción vigente del art. 33.5 del Real Decreto 801/2005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titulares de las viviendas protegidas para alquiler podrán enajenarlas a nuevos titulares, siempre que se trate de sociedades que incluyan en su objeto social el arrendamiento de viviendas, incluyendo sociedades o fondos de inversión inmobiliaria. La enajenación será por promociones completas, según proceda de acuerdo con la normativa aplicable, o incluso por viviendas aisladas, cuando los adquirentes sean alguna de las restantes entidades a las que se refiere el artículo 41.1. Dicha enajenación podrá efectuarse en cualquier momento del período de vinculación a dicho régimen de uso, sin sujeción a los precios legales de referencia establecidos en el artículo 32.1 de este Real Decreto, previa notificación al órgano competente de las Comunidades Autónomas o de las ciudades de Ceuta y Melilla.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titulares que enajenan las viviendas podrán: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Retener la gestión de las promociones enajenadas, con la obligación, en todo caso, por parte de los compradores, de atenerse a las condiciones, compromisos, plazos y rentas máximas establecidos en este Real Decreto, subrogándose en sus derechos y obligaciones y pudiendo subrogarse, total o parcialmente, en las ayudas financieras que hubieran obtenido los promotores.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Ceder la gestión de las mismas a organismos públicos, entidades sin ánimo de lucro, o a sociedades que incluyan en su objeto social el arrendamiento de viviendas, con la obligación, por parte de los gestores, de atenerse a las condiciones, compromisos, plazos y rentas máximas establecidos en este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originaria del precepto sometía la enajenación de promociones completas a la autorización y a las condiciones fijadas por el órgano competente de las Comunidades Autónomas o ciudades con estatuto de autonomía. La modificación impugnada sustituye el régimen de autorización previa condicionada por una preceptiva notificación al indicado órgano. Ello afectaría, según el Letrado autonómico, a la gestión autonómica en una materia reservada en exclusiva a la Comunidad de Madrid (art. 26.1.4 de su Estatuto de Autonomía). El nuevo régimen no podría ampararse en la competencia genérica de bases y coordinación de la planificación general de la actividad económica (ex art. 149.1.13 CE). En cambio, el Abogado del Estado interesa la desestimación del conflicto al considerar que la modificación se enmarca dentro de la competencia estatal de coordinación de la planificación general de la actividad económica. La regulación estaría justificada por la importancia de la vivienda y el sector inmobiliario para la economía general y por el carácter supraautonómico de la finalidad perseguida: favorecer el acceso a la vivienda protegida de alquiler eliminando obstáculos y trabas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enjuiciamiento de este conflicto debemos comprobar si la posterior derogación del precepto controvertido ha incidido sobre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derogatoria única del Real Decreto 2066/2008, de 12 de diciembre, que regula el plan estatal de vivienda y rehabilitación 2009-2012, afectó tanto al Real Decreto 801/2005, de 1 de julio, que regula el plan estatal 2005-2008, como a las modificaciones introducidas por Real Decreto 14/2008, de 11 de enero. Por tanto, ya no está en vigor el art. 33.5 del Real Decreto 801/2005, de 1 de julio, objeto del presente conflicto. El nuevo plan estatal de vivienda y rehabilitación 2009-2012 carece de una disposición similar. Ahora bien, el conflicto no ha perdido objeto, a la vista de nuestra doctrina constitucional. La norma enjuiciada tenía vigencia limitada de 2005 a 2008, como ocurre con las leyes de presupuestos. Excluir en estos casos el examen constitucional, “sería tanto como negar la posibilidad de control por este Tribunal Constitucional de determinadas normas con vigencia limitada en el tiempo... creándose así un ámbito normativo (estatal o autonómico) inmune al control de la jurisdicción constitucional” [entre muchas, SSTC 197/2012, de 6 de noviembre, FJ 2 y 112/2013, de 9 de mayo,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la pervivencia del objeto de este proceso, conviene aún delimitarlo con mayor precisión. El Letrado de la Comunidad de Madrid impugna formalmente la totalidad del art. 33.5 del Real Decreto 801/2005, en la redacción dada por el apartado 12.1 del artículo único del Real Decreto 14/2008. Sin embargo, sus alegaciones se refieren sólo al inciso del art. 33.5, que dispone que los titulares de vivienda protegida destinada a arrendamiento podrán enajenarla “previa notificación al órgano competente de las Comunidades Autónomas o de las ciudades de Ceuta y Melilla”. En consecuencia, nuestro enjuiciamiento habrá de referirse exclusivamente a este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determinar el canon o parámetro de control de la constitucionalidad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14/2008 se adoptó para mejorar algunos aspectos del plan estatal 2005-2008 de acceso de los ciudadanos a la vivienda a la vista de la experiencia obtenida. Según su exposición de motivos, se trataba de “perfilar más aún aquellas modalidades de actuaciones protegidas y ayudas económicas estatales directas que pueden contribuir en mayor medida a fortalecer y diversificar los mercados tanto de propiedad como de alquiler acogidos a protección pública”. En este sentido, “se flexibilizan los requisitos para que los inquilinos puedan obtener ayudas para el pago de las rentas, a la vez que se establecen ciertas incompatibilidades y algunas condiciones que deben reunir quienes aspiren a ocupar en arrendamiento viviendas acogidas a las ayudas del Plan. Por el lado de la oferta, se aseguran mejores condiciones para los promotores de viviendas protegidas en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pues del ámbito de las ayudas públicas, la resolución del presente conflicto exige comenzar por el encuadramiento competencial de las reguladas, a fin de determinar, a la vista de las atribuciones del Estado y de la Comunidad de Madrid, si se ha producido la vulneración competencial denunciada. Habrá que tomar como parámetro sustantivo la doctrina constitucional en esta materia, especialmente la recogida en la STC 13/1992, de 6 de febrero. Además, hemos de tener en cuenta la STC 152/1988, de 20 de julio, que estableció los ámbitos de intervención estatal en materia de vivienda. Así lo hemos recordado recientemente en la STC 112/2013, de 9 de mayo, FJ 3, que desestimó el conflicto positivo de competencia formulado por el Consejo de Gobierno de la Comunidad de Madrid contra determinados preceptos del Real Decreto 2066/2008, de 12 de diciembre, por el que se aprobó el plan estatal de vivienda y rehabilitación 2009-2012.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partir de que el art. 148.1.3 CE permitió que las Comunidades Autónomas asumieran atribuciones en materia de vivienda y de que el art. 26.1.4 del Estatuto de Autonomía de la Comunidad de Madrid, aprobado por Ley Orgánica 3/1983, de 25 de febrero, ha incluido esta competencia como exclusiva. Hay que tener en cuenta, a la vez, que, conforme a su disposición final primera, el Real Decreto 14/2008 se ampara en el art. 149.1.13 CE, que atribuye al Estado competencia exclusiva en materia de bases y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duda el Estado puede ejercer actividades de fomento en el mercado inmobiliario, por la evidente conexión de este sector con la economía nacional. Según declaramos en la STC 152/1988, la competencia autonómica en materia de vivienda se halla limitada por esa competencia del Estado sobre las bases y coordinación de la planificación general de la actividad económica. Tanto el art. 149 CE como los Estatutos de Autonomía “dejan a salvo las facultades de dirección general de la economía y, por tanto, de cada uno de los sectores productivos, que han de quedar en poder de los órganos centrales del Estado. En consecuencia, dentro de la competencia de dirección de la actividad económica general tienen cobijo también las normas estatales que fijen las líneas directrices y los criterios globales de ordenación de sectores económicos concretos, así como las previsiones de acciones o medidas singulares que sean necesarias para alcanzar los fines propuestos dentro de la ordenación de cada sector. Este razonamiento es también aplicable al sector de la vivienda, y en particular, dentro del mismo, a la actividad promocional, dada su muy estrecha relación con la política económica general, en razón de la incidencia que el impulso de la construcción tiene como factor del desarrollo económico y, en especial, como elemento generador de empleo” (STC 152/1988,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152/1988, FJ 4, distinguió determinados aspectos en los que cabe admitir la competencia estatal de fomento en materia de vivienda: la definición de las actuaciones protegidas; la regulación esencial de las fórmulas de financiación adoptadas (créditos cualificados, subsidiación de préstamos y subvenciones); el nivel de protección; y, la aportación de recursos estatales. En consecuencia, “la regulación estatal de cada uno de estos cuatro aspectos no invade competencia autonómica alguna, pues se halla legitimada por lo dispuesto en el art. 149.1.13 CE”. Sin embargo, “ello no significa que las Comunidades Autónomas con competencias en materia de vivienda hayan de quedar absolutamente desprovistas de cualquier atribución por lo que se refiere a las actuaciones protegibles en el sector. Por un lado, es evidente que, en función de aquellas competencias estatutarias, pueden definir y llevar a cabo una política de vivienda propia, complementando las actuaciones de protección y promoción previstas por el Estado, con cargo a sus propios recursos ... Pero además, para la ejecución de la normativa estatal reguladora de las actuaciones protegibles que, como diremos más adelante, les corresponde, las Comunidades Autónomas deben contar con un margen de libertad de decisión que les permita aplicar las medidas estatales adaptándolas a las peculiares circunstancias de su territorio, sin perjuicio del respeto debido a los elementos indispensables que las normas estatales arbitran para alcanzar los fines de política económica general propuestos”.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hemos pronunciado en este mismo sentido en las SSTC 59/1995, de 17 de marzo, y 61/1997, de 20 de marzo, al admitir la facultad estatal de intervenir en materia de vivienda con amparo en el art. 149.1.13 CE. A su vez, hemos declarado en la reciente STC 112/2013, de 9 de mayo, FJ 3, que “estamos en un ámbito material en el que el diseño del texto constitucional propugna un equilibrio entre los diferentes sujetos constitucionales en presencia, que deberán repartirse facultades sin en ningún caso anular a los otros y teniendo siempre presente la necesidad de cooperación entre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sucedía con el supuesto de hecho que dio lugar a la citada STC 112/2013, nos encontramos, en atención a los títulos competenciales aplicables en esta materia, en el ámbito de lo dispuesto en el fundamento jurídico 8 b) de la STC 13/1992, de 6 de febrero: “El segundo supuesto se da cuando el Estado ostenta un título competencial genérico de intervención que se superpone a la competencia de las Comunidades Autónomas sobre una materia, aún si ésta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olvidar que, además, el Estado cuenta con competencias legislativas en materia de procedimiento administrativo. No sólo le corresponde la regulación del procedimiento común (art. 149.1.18 CE); también el régimen jurídico de los procedimientos concretos o especiales, aunque limitado a las materias sustantivas en que la Constitución le atribuye competencias. Si bien “cuando la competencia legislativa sobre una materia ha sido atribuida a una Comunidad Autónoma, a ésta cumple también la aprobación de las normas de procedimiento administrativo destinadas a ejecutarla”, habrán de “respetarse en todo caso las reglas del procedimiento establecidas en la legislación del Estado dentro del ámbito de sus competencias” (STC 152/1988, de 20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 la doctrina constitucional aplicable al caso, procede enjuiciar el precepto impugnado. La reforma controvertida prevé la posibilidad de que los titulares de las viviendas protegidas para alquiler puedan enajenarlas a determinadas sociedades, previa notificación al órgano autonómico correspondiente; flexibiliza de este modo la enajenación. La redacción originaria obligaba a obtener la previa autorización en las condiciones fijadas por la Comunidad Autónoma o ciudad con estatuto de autonomía. Corresponde, por tanto, establecer si el Estado puede hacer valer el art. 149.1.13 CE para modificar el régimen de intervención administrativa en la enajenación de viviendas protegidas, teniendo en cuenta que la Comunidad de Madrid cuenta con competencia exclusiva en materia de vivienda (art. 26.1.4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 su exposición de motivos, el plan estatal 2005-2008 se adoptó en un contexto de crecimiento de la oferta de vivienda nueva sólo comparable en términos cuantitativos a las cifras alcanzadas en los años sesenta; este crecimiento no se vio, sin embargo, correspondido con una mejora de las condiciones de acceso de los ciudadanos a la vivienda. El incremento de los precios de la vivienda provocó un desfase con los salarios, que dificultó el acceso a una vivienda digna. El plan surgió para afrontar este problema al amparo del art. 149.1.13 CE, por la estrecha relación existente entre la actividad promocional y rehabilitadora del sector de la vivienda con la política económica general, “en razón del efecto multiplicador que el impulso de la actividad del sector de la construcción tiene para el desarrollo económico y, en especial, como elemento generador de empleo” (exposición de motivos del Real Decreto 801/2005, de 1 de julio). El plan giró alrededor de diversos ejes estratégicos. En primer lugar, su objetivo prioritario era que la vivienda protegida ampliase su peso en el conjunto del mercado inmobiliario. En segundo lugar, debía contribuir a un mayor equilibrio entre las formas de tenencia, fomentando el alquiler para que se equiparase con la propiedad y promoviendo así la movilización del parque de viviendas desocupadas. En tercer lugar, impulsaba un conjunto de actuaciones en materia de suelo edificable destinado preferentemente a viviendas protegidas. En cuarto lugar, el plan iba dirigido a colectivos más desfavorecidos como jóvenes, familias numerosas, familias monoparentales y ciudadanos mayores de sesenta y cinco años. Por último, el plan se basaba en la concertación y cooperación institucional entre todas las Administraciones públicas y con los agentes sociales y económicos, incorporando mecanismos de adaptación y flexibilización para favorecer su ejecución y gestión por parte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 estatal 2005-2008, destinado al fomento del alquiler en los términos indicados, está estrechamente vinculado a la política económica general. La previsión impugnada modifica el régimen de intervención administrativa en línea con la normativa europea y la nacional de trasposición, que tienden a privilegiar las declaraciones responsables o comunicaciones previas frente al sistema clásico de autorización; pretenden con ello facilitar actividades privadas sin renunciar a los necesarios controles administrativos de legalidad. Se trata de una opción político-legislativa que, en el caso que nos ocupa, garantiza la eficacia y el nivel de protección. Se parte de que el régimen de comunicación previa puede también servir eficazmente a las finalidades tuitivas que persigue el plan, agiliza la enajenación de viviendas con la consiguiente trascendencia económica amparada en el art. 149.1.13 CE. El Estado ha ejercido así sus competencias normativas en esta materia en un determinado sentido: mejorar su funcionalidad, evitando los obstáculos que resultan de la diversidad de posibles condiciones impuestas por diecisiete Comunidades Autónomas y dos ciudades con estatuto de autonomía; así como sustituir la autorización por la notificación previa. Como afirma el Abogado del Estado, la fijación de una determinada modalidad de intervención administrativa constituye una medida de carácter indudablemente normativo; expresa una opción político-legislativa adoptada en el marco de la libertad de configuración que la Constitución atribuye al Estado a través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impugnada no merma las funciones ejecutivas que corresponden a la Comunidad de Madrid. Los órganos autonómicos competentes podrán controlar las enajenaciones, al estar los interesados obligados a notificarlas antes de que tenga lugar la operación. La regulación estatal deja un margen para que las Comunidades Autónomas desarrollen el control y la gestión de la enajenación de vivienda protegida para alquiler que, de acuerdo con la doctrina constitucional previamente expuesta, resulta conforme con el parámetro de constitucionalidad fijado en la STC 13/1992, FJ 8 b), y con las posibilidades de intervención del Estado en materia de vivienda que estableció la STC 152/1988. A su vez, la reforma no obsta para que las Comunidades Autónomas establezcan su propia política de vivienda, en la que podrán introducir el régimen de intervención administrativa que resulte acorde con la finalidad perseguida. Tal como declaramos en la STC 112/2013, en aplicación de la doctrina derivada de la STC 152/1988, FJ 4, el régimen de autorización administrativa sólo se aplica “a las viviendas que se acojan a la financiación del Plan sin condicionar la política de vivienda que puedan desplegar las Comunidades Autónomas mediante sus propios programas”, a las que podrán aplicar las medidas de intervención administrativa acordes con los objetivos de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 promovido por la Comunidad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