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26 de septiembre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1741-2004, interpuesto por el Gobierno de Aragón contra la disposición final primera de la Ley 57/2003, de 16 de diciembre, de medidas para la modernización del gobierno local, en cuanto declara básicos los siguientes artículos de la Ley 7/1985, de 2 de abril, reguladora de las bases de régimen local (LBRL): art. 4.2, en el inciso que dice “excepto en el supuesto de las mancomunidades, que se rigen por lo dispuesto en el apartado siguiente”; art. 4.3; art. 13.3; art. 20.1 d); art. 36.1 c) y d); art. 70.1, párrafo segundo; art. 70 bis.1; art. 85.2 b); art. 85 bis.1, desde “con las siguientes especialidades” hasta el final; art. 85 bis.2; art. 123.1 c); art. 131 y art. 132; y, subsidiariamente, contra los arts. 20.1 d); 70.1, párrafo segundo; art. 70 bis.1; art. 85 bis.1, desde “con las siguientes especialidades” hasta el final; art. 85 bis.2; art. 123.1 c); art. 131 y art. 132 LBRL. Estos artículos han sido redactados por el artículo primero, apartados 1 y 3, de la Ley de medidas para la modernización del gobierno local. Ha formulado alegaciones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marzo de 2004, el Letrado de la Comunidad Autónoma de Aragón, en la representación que legalmente ostenta, interpuso recurso de inconstitucionalidad contra la disposición final primera de la Ley 57/2003, de 16 de diciembre, de medidas para la modernización del gobierno local, que declara básicos los artículos citados en el encabezamiento. Igualmente, de manera subsidiaria, impugna los arts. 20.1 d); art. 70 bis.1; art. 85 bis.1, desde “con las siguientes especialidades” hasta el final; art. 85 bis.2; art. 123.1 c); art. 131 y art. 132 de la Ley 7/1985, de 2 de abril, reguladora de las bases de régimen local (LBRL), en la redacción dada por la Ley de medidas para la modernización del gobierno local, por infringir el principio de autonomía local (arts. 137 y 140 CE); y el art. 70.1, párrafo segundo, LBRL, en la redacción dada por la Ley de medidas para la modernización del gobierno local, por ser contrario al principio democrático (art. 1.1 CE), la seguridad jurídica (art. 9.3 CE) y el derecho a participar directamente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comienza con las siguientes consideraciones generales: a) la Ley 57/2003, con el pretexto de imponer un determinado modelo de gobierno local basado en ejecutivos con gran capacidad de gestión, ha invadido la competencia que atribuye a la Comunidad Autónoma recurrente el art. 35.1.2 de su Estatuto de Autonomía, al declarar básicos preceptos que materialmente carecen de tal carácter; b) se vulneran la autonomía local y las normas democráticas y participativas propias de los gobiernos locales; c) las bases del régimen local ya habían sido reguladas por el Estado mediante la Ley reguladora de las bases de régimen local de 1985 (LBRL) en desarrollo de la cual se dictó la Ley aragonesa 7/1999, de 9 de abril, de Administración local de Aragón, habiéndose producido una interiorización de la competencia por la Comunidad Autónoma, por lo que la modificación de las bases establecidas debe efectuarse con una mayor justificación y de forma que se lesione lo menos posible el contenido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 4.3, en relación con el último inciso del art. 4.2 LBRL, que se remite a aquél, la demanda dice que a partir de la doctrina de la STC 214/1989, FJ 4 b), las mancomunidades son entidades interiorizadas por lo que el Estado no puede determinar sus competencias, y existe, además, la posibilidad de que entre en conflicto con la comarca sobre la que gira la política local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13.3 LBRL, tras admitir que su redacción es anterior a la reforma impugnada, mantiene que formalmente es un nuevo precepto en cuyo análisis de fondo debe entrar el Tribunal Constitucional porque cuando se incluyó en la Ley por primera vez no todas las Comunidades Autónomas habían asumido competencias en la materia. Se afirma en la demanda que el precepto invade la competencia autonómica porque, habiendo asumido las Comunidades Autónomas la competencia para desarrollar las bases y la de ejecución, la competencia del legislador estatal se limita a lo básico y no puede incidir en una política autonómica que no contemple la fusión de municipios y que, por el contrario, propicie la creación de entidades supramunicipales, como es el caso de Aragón cuyo Estatuto contempla que una ley podrá ordenar la constitución y regulación de las comarcas (art. 5 del Estatuto de Autonomía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20.1 d) LBRL, que regula la comisión especial de sugerencias y reclamaciones como órgano complementario, se mantiene que la regulación de los órganos complementarios corresponde a la Comunidad Autónoma y que se invade la autonomía local al establecer este órgano como preceptivo en los municipios de gran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artículo 23.1 c) LBRL, la previsión de que “tendrán en todo caso naturaleza orgánica” anula la competencia autonómica en relación con los órganos complementarios —consejo social de la ciudad, comisión especial de sugerencias y reclamaciones, procedimientos de participación ciudadana, y distritos— y su carácter preceptivo lesiona la autonomía local. Estos mismos argumentos sustentan la impugnación de los arts. 131 y 132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también los apartados c) y d) del art. 36.1 LBRL. Este precepto atribuye a las Diputaciones la prestación de servicios públicos de carácter supramunicipal y supracomarcal en todo caso, por lo que impone a las Comunidades Autónomas una decisión que solo puede estar atribuida a estas últimas. El Letrado del Gobierno aragonés invoca la interiorización operada por el art. 65 de la Ley 7/1999, de 9 de abril, de Administración local de Aragón y sostiene que el precepto de la Ley autonómica es más respetuoso con la estructura territorial de los entes locales. Sobre el apartado d) defiende que debe entenderse que está privado de un verdadero alcance normativo porque si lo tuviera vulneraría las competencias del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70.1, párrafo segundo, LBRL, que establece que las sesiones de la junta de gobierno local no son públicas, se sostiene que es inconstitucional porque excede de las bases, por haber sido interiorizada la competencia por la Comunidad Autónoma de Aragón, que contempla una excepción al secreto de las sesiones cuando la junta de gobierno local actúa por delegación del pleno (art. 118 Ley de Administración local de Aragón). Subsidiariamente, plantea que este artículo, por establecer la no publicidad de las sesiones de la junta de gobierno local incluso respecto de las competencias delegadas del pleno, que obligatoriamente debe celebrar sesiones públicas, es contrario al principio democrático (art. 1.1 CE), al principio de seguridad jurídica (art. 9.3 CE) y al derecho a la participación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70 bis.1 LBRL se argumenta que vulnera la competencia autonómica porque obliga a los ayuntamientos a establecer y regular en normas de carácter orgánico procedimientos y órganos para la efectiva participación de los vecinos, eliminando la participación autonómica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argumento, la eliminación de la intervención autonómica, se apoya la inconstitucionalidad del art. 85.2 b) LBRL, que remite la gestión indirecta de los servicios públicos a la Ley de contratos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del art. 85 bis LBRL se impugnan el apartado 1, desde “con las siguientes especialidades” hasta el final, y el apartado 2. Considera el Letrado autonómico que la remisión a la Ley de organización y funcionamiento de la Administración general del Estado sería constitucional si el inciso “en cuanto les resulte de aplicación” permitiera a las Comunidades Autónomas ir modulando la norma; pero como la normativa estatal se aplica en todo caso al incluir las especialidades de las entidades locales, debe considerarse inconstitucional y anularse. Con el mismo argumento se impugna el apartado segundo que, al establecer el contenido de los estatutos de los organismos autónomos locales, desconoce las competencias autonómicas y vulnera la autonomía organizativa por el contenido obligatorio de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argumentos expuestos, suplica que se declare la inconstitucionalidad de la disposición final primera de la ley 57/2003, de 16 de diciembre, por declarar básicos los artículos precitados, la nulidad parcial de dicha disposición en cuanto incluye tales artículos y la total nulidad de éstos porque carecen del carácter material de norma básica y el Estado carece de título competencial; subsidiariamente, solicita que se declare la inconstitucionalidad y nulidad de los artículos que se ha denunciado que vulneran la autonomía local o el principio democrático, la seguridad jurídica o el derecho a participar directamente en los asuntos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mediante providencia de 13 de abril de 2004, acordó admitir a trámite este recurso de inconstitucionalidad, dar traslado de la demanda y documentos presentados al Congreso de los Diputados, al Senado y al Gobierno de España para que pudieran personarse y formular alegaciones, y ordenó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mediante escrito registrado en este Tribunal el 28 de abril de 2004, se personó en el procedimiento y ofreció su colaboración a los efectos del artículo 88.1 de la Ley Orgánica del Tribunal Constitucional. El Presidente del Congreso de los Diputados, mediante escrito registrado en este Tribunal el 30 de abril de 2004, comunicó que no se personaría en el proceso aunque se puso a disposición del Tribunal a los efectos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en este Tribunal el 7 de mayo de 2004, presentó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exponiendo los aspectos esenciales de la garantía constitucional que deriva del art. 149.1.18 CE (SSTC 32/1981, 84/1982, 214/1989, y 159/2001), según la cual corresponde al Estado establecer los elementos esenciales que garanticen un régimen jurídico unitario aplicable a todas las Administraciones locales, cuya intensidad es menor en lo que se refiere al funcionamiento interno y organización de sus órganos, y mayor en aquellas cuestiones que inciden más directamente en su actividad externa. No obstante, la finalidad de garantizar a los administrados un tratamiento común ante todas las Administraciones locales conlleva que las bases establecidas por el Estado en materia de organización y funcionamiento puedan acentuar su carácter básico cuando inciden sobre el propósito mencionado, destacando que el Tribunal Constitucional ha considerado como básica la calificación como funciones necesarias en todas las corporaciones locales las de “secretaría” y de “control y fiscalización interna de la gestión económico-financiera y presupuestaria y la contabilidad, tesorería y recaudación” que se reservan a funcionarios con habilitación de carácter nacional. Añade que el principio de suficiencia y autonomía financiera de las Administraciones locales tiene un límite derivado de las exigencias de la política económica general de carácter presupuestario, dirigida a la consecución de la estabilidad interna y externa, que legitima al Estado para hacer compatibles el principio de suficiencia de las haciendas locales y el de solidaridad y equilibrio territorial derivado de la estabilidad económica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los apartados 2 y 3 del art. 4 LBRL, el Abogado del Estado sostiene que, dado el origen convencional de las mancomunidades, éstas disfrutarán de las potestades que, en virtud de su autonomía, incluyan los municipios constituyentes en los estatutos, habiendo declarado el Tribunal Constitucional que la supresión de la potestad de aprobación por los órganos autonómicos de los estatutos de las mancomunidades es una de las fórmulas constitucionalmente posibles, pues el legislador estatal puede válidamente optar por ampliar el alcance de la autonomía municipal, lo que no puede considerarse un exceso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artículo 13.3 LBRL se remite el Abogado del Estado a la STC 214/1989, que declaró la constitucionalidad del mencionado artículo, añadiendo que la competencia de “fomento” no es una actividad estricta de ejecución ni está dirigida en exclusiva a las entidades .municipales sino que puede dirigirse también a las Comunidades Autónomas, lo que deja intactas en este punto las competencias de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20.1 d) LBRL sostiene que el carácter básico de la regulación relativa a la organización se acentúa cuando afecta a las relaciones de las entidades locales con los administrados, requisito que concurre en el caso de la comisión especial de sugerencias y reclamaciones.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con el análisis del artículo 36.1 c) y d) LBRL, defendiendo que el derecho a la autonomía local de las Diputaciones provinciales impide que la regulación de sus competencias sea dejada a la interpretación de cada Comunidad Autónoma, aunque el Estado deba permitir opciones diversas. No hay una vulneración estatutaria porque el haber establecido una competencia como integrante de la autonomía provincial constitucionalmente garantizada no impide que cada Comunidad Autónoma desarrolle su modelo de gestión provincial, pues es lógico pensar que en Aragón el papel de las Diputaciones será menor que en otras donde la organización provincial adquiera más relevancia. En el mismo sentido las competencias de fomento del desarrollo económico y social y en la planificación estarán supeditadas al nivel de intervención que la legislación autonómica reserva a las Diputaciones, de modo que en cada ámbito autonómico el papel de estos entes locales no será uniforme.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70.1, párrafo segundo, LBRL alega que la organización diseñada para las corporaciones municipales se basa en la intensificación de las funciones representativas, de deliberación y decisión, por lo que las sesiones son públicas salvo para salvaguardar los derechos del art. 18.1 CE. El reforzamiento del perfil ejecutivo de la junta de gobierno local justifica que no celebre las sesiones de forma pública, sin perjuicio de las obligaciones de publicación y notificación de los acuerdos, concepción que responde al modelo de la Carta europea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70 bis, 1 y 3 LBRL, considera que el art. 9.2 CE contiene un mandato a los poderes públicos para que promuevan las condiciones que faciliten la participación ciudadana, por lo que no puede resultar extraño que, siendo la Administración local la más próxima a los administrados, las bases incluyan un mandato dirigido a promover dicha participación, que corresponde desarrollar a las Comunidades Autónomas y que deja a los municipios establecer el ritmo de implantación de los procedimientos técnicos sin vulneración de su autonomía y suficiencia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Abogado del Estado los reparos expuestos sobre el art. 85.2 b) LBRL, alegando que el Estado tiene competencia para dictar la legislación básica sobre el régimen jurídico de las Administraciones públicas, contratos y concesiones, y la eliminación del arrendamiento como sistema de gestión indirecta no permite fundamentar la inconstitucionalidad del mencionado precepto. Solo existe una prohibición en cuanto a los sistemas de gestión indirecta o de prestación mediante sociedades mercantiles, que son los servicios públicos que impliquen el ejercicio de autoridad, pero que constituye un precepto de contenido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85 bis LBRL sostiene que ninguno de los requisitos exigidos por la norma básica es desproporcionado en relación con la imagen que se tiene de un organismo autónomo o de una entidad pública empresarial y no impide el desarrollo de las bases por las Comunidades Autónomas, respetando las potestades de autoorganización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123.1 c) LBRL, el Abogado del Estado destaca que parece razonable y adecuado a los principios constitucionales exigir que la fuente productiva de los reglamentos orgánicos sea el pleno, principalmente porque todos ellos tienen en mayor o menor medida una eficacia normativa ad extra por estar referidos a órganos administrativos que se relacionan con los administrados.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entiende que los artículos 131 y 132 LBRL tienen la consideración de legislación básica porque entre las bases del régimen jurídico de las Administraciones locales se encuentran aquellas cuestiones que afectan al diseño orgánico y funcional cuando su finalidad es la de promover la participación ciudadana (art. 9.2 CE), la audiencia de los ciudadanos (art. 105 CE) y los principios de eficacia y coordinación (art. 103.1 CE) y las funciones que se les atribuyen van encaminadas a la consecución de los mencionados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septiembre de 2013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Aragón contra la disposición final primera de la Ley 57/2003, de 16 de diciembre, de medidas para la modernización del gobierno local, en cuanto declara básicos los siguientes artículos de la Ley 7/1985, de 2 de abril, reguladora de las bases de régimen local (LBRL): art. 4.2, en el inciso que dice “excepto en el supuesto de las mancomunidades, que se rigen por lo dispuesto en el apartado siguiente”; art. 4.3; art. 13.3; art. 20.1 d); art. 36.1 c) y d); art. 70.1, párrafo segundo; art. 70 bis.1; art. 85.2.b); art. 85 bis.1, desde “con las siguientes especialidades” hasta el final; art. 85 bis.2; art. 123.1 c); art. 131 y art. 132; por excederse materialmente de la legislación básica. Subsidiariamente, se impugnan los arts. 20.1 d); 70.1, párrafo segundo; art. 70 bis.1; art. 85 bis.1, desde “con las siguientes especialidades” hasta el final; art. 85 bis.2; art. 123.1 c); art. 131 y art. 132 LBRL, por ser contrarios al principio de autonomía local (arts. 137 y 140 CE) y, además, el art. 70.1, párrafo segundo, LBRL, por infracción de los principios democrático (art. 1.1 CE) y a la seguridad jurídica (art. 9.3 CE) y del derecho a participar directamente en los asuntos públicos (art. 23.1 CE). Estos artículos han sido redactados por el artículo primero, apartados 1 y 3, de la Ley de medidas para la modernización del gobierno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la declaración contenida en la disposición final primera de la Ley de medidas para la modernización del gobierno local forma parte de la competencia que atribuye al Estado el art. 149.1.18 CE para establecer la legislación básica en materia de régimen local. Igualmente, niega la existencia de las vulneraciones alegadas respecto del resto de preceptos impugnados, por lo que suplica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los preceptos impugnados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proceso constitucional es parcialmente coincidente con el de los recursos de inconstitucionalidad resueltos por las SSTC 103/2013, de 25 de abril, y 143/2013, de 10 de julio, por lo que la respuesta a algunas de las cuestiones planteadas lo será por remisión a lo que en aquellas se dijo. Las impugnaciones que se plantean por primera vez o son objeto de nuevos argumentos para sustentar su inconstitucionalidad son las referidas a los arts. 36.1 d); 70.1, párrafo segundo; 70 bis.1; 85.2 b) y 85 bis.2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impugnación, que se dirige contra la disposición final primera de la Ley de medidas para la modernización del gobierno local, en cuanto declara básicos determinados preceptos de la Ley reguladora de las bases de régimen local, no es autónoma porque su constitucionalidad depende de la de los preceptos que se impugnan por motivos competenciales. Varios de los preceptos se impugnan, además, por vulneraciones sustantivas de la Constitución, como los relativos a la autonomía local o al principio democrático y al derecho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control de las normas que incurren en un posible exceso competencial debe hacerse de acuerdo con las normas del bloque de constitucionalidad vigentes en el momento de dictarse la Sentencia (STC 103/2013, de 25 de abril, FJ 3). Así, hay que destacar que después de la interposición del presente recurso de inconstitucionalidad el Estatuto de Autonomía de Aragón ha sido modificado por la Ley Orgánica 5/2007, de 20 de abril. El art. 71.5 del Estatuto de Autonomía actualmente vigente, atribuye a la Comunidad Autónoma de Aragón competencia exclusiva “en materia de régimen local, la determinación de las competencias de los municipios y demás entes locales en las materias de competencia de la Comunidad Autónoma de Aragón; el régimen de los bienes locales y las modalidades de prestación de los servicios públicos locales, así como las relaciones para la cooperación y colaboración entre los entes locales y entre éstos y la Administración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inconstitucionalidad está basado parcialmente en la invasión de las competencias asumidas por la Comunidad Autónoma de Aragón en materia de régimen local, por haberse excedido el Estado del ámbito material de las normas básicas. Las SSTC 103/2013, de 25 de abril, FJ 4; y 143/2013, de 10 de julio, FJ 3, recogiendo la doctrina constitucional anterior, declaran que: (i) en virtud del art. 149.1.18 CE corresponde al Estado fijar los principios o bases relativos a los aspectos institucionales (organizativos y funcionales) y a las competencias de los entes locales; (ii) las bases estatales “tienen los dos cometidos de concretar la autonomía local constitucionalmente garantizada para establecer el marco definitorio del autogobierno de los entes locales directamente regulados por la Constitución, en primer lugar, y, en segundo lugar, de concretar los restantes aspectos del régimen jurídico básico de todos los entes locales que son, en definitiva, Administraciones públicas”; y (iii) las competencias autonómicas en materia de régimen local son de desarrollo de las bases estatales, y el título que en esta materia otorga al Estado el art. 149.1.18 CE no ha desaparecido por la modificación estatutaria y la calificación de la competencia como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impugnación de la disposición final primera de la Ley de medidas para la modernización del gobierno local, en cuanto declara básico el artículo 4.3, en relación con el artículo 4.2, último inciso, LBRL —regulación de las potestades de las mancomunidades—, ha sido resuelta en la STC 103/2013, de 25 de abril, FJ 5 a), concluyéndose que la declaración de que constituye legislación básica del Estado en materia de régimen local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impugnación de la disposición final primera de la Ley de medidas para la modernización del gobierno local, en cuanto declara básico el artículo 13.3 LBRL —potestad estatal para establecer medidas de fomento de la fusión de municipios—, ha sido resuelta en la STC 103/2013, de 25 de abril, FJ 5 b), concluyéndose que la declaración de que constituye legislación básica del Estado en materia de régimen local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impugnación de la disposición final primera de la Ley de medidas para la modernización del gobierno local, en cuanto declara básicos los artículos 20.1 d), 123.1 c), 131 y 132 LBRL —obligación para los municipios de gran población de establecer la comisión de sugerencias y reclamaciones y el consejo social de la ciudad y su regulación en el reglamento orgánico—, y, subsidiariamente, de estos artículos por ser contrarios a la autonomía local ha sido resuelta en la STC 103/2013, de 25 de abril, FJ 5 f) y k), concluyéndose que la declaración de que constituyen legislación básica del Estado en materia de régimen local no es contraria a la Constitución y que su contenido tampoco vulnera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impugnación de la disposición final primera de la Ley de medidas para la modernización del gobierno local, en cuanto declara básico el artículo 36.1 c) LBRL —atribución a las Diputaciones provinciales de competencia para la prestación de servicios públicos de carácter supramunicipal y, en su caso, supracomarcal—, ha sido resuelta en la STC 103/2013, de 25 de abril, FJ 5 c), concluyéndose que la declaración de que constituyen legislación básica del Estado en materia de régimen local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impugnación de la disposición final primera de la Ley de medidas para la modernización del gobierno local, en cuanto declara básico el artículo 36.1 d) LBRL, va a ser analizada en este fundamento. El precepto declarado básico establece como competencia propia de las Diputaciones provinciales la cooperación en el fomento del desarrollo económico y social y en la planificación en el territorio provincial, de acuerdo con las competencias de las demás Administraciones públicas en este ámbito. La parte recurrente alega que la declaración como legislación básica del art. 36.1 d) LBRL es inconstitucional porque corresponde a la Comunidad Autónoma reconocer y prever la participación de la provincia en los procedimientos de planificación y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214/1989, de 21 de diciembre, FJ 2, afirma que el Estado tiene competencia para fijar los principios básicos sobre las competencias que deba reconocerse a las entidades locales, garantizando su derecho a intervenir en cuantos asuntos afecten directamente al círculo de sus intereses, y fijando al respecto unas directrices para llevar a cabo la asignación de tales competencias. La cooperación en el fomento del desarrollo económico y social y de planificación en el territorio provincial forma parte del diseño básico y común de la autonomía provincial, al ser aspectos que afectan directamente a intereses provinciales. Por tanto, no hay objeción alguna para considerar que es una competencia que, por configurar el modelo de autonomía provincial, corresponde realizar al legislador estatal. Por otra parte, al no haberse incidido en el desarrollo de cauce procedimental alguno para el ejercicio de la mencionada competencia, se han salvaguardado las competencias del resto de Administraciones públicas para establecer su normativa de desarrollo. Así lo establece, además, el precepto impugnado al decir que la competencia reconocida se ejercerá “de acuerdo con las competencias de las demás administraciones públicas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disposición final primera de la Ley de medidas para la modernización del gobierno local, en cuanto declara que el art. 36.1 d) LBRL constituye legislación básica del Estado en materia de régimen local,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impugnación de la disposición final primera de la Ley de medidas para la modernización del gobierno local, en cuanto declara básico el artículo 70.1, párrafo segundo, LBRL, y, subsidiariamente, de este artículo por infracción de los principios democrático (art. 1.1 CE) y a la seguridad jurídica (art. 9.3 CE) y del derecho a participar directamente en los asuntos públicos (art. 23.1 CE) va a ser analizada en este fundamento. El artículo declarado básico establece que “no son públicas las sesiones de la Junta de Gobierno Local”. El Gobierno recurrente alega, como motivo principal de impugnación, que esta materia ya ha sido asumida por la legislación aragonesa, que mantiene la publicidad de las sesiones de la junta de gobierno local cuando afectan a asuntos delegados por el pleno, por lo que el párrafo impugnado vulnera la competencia de la Comunidad Autónoma por exceso de lo que debe considerarse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forma de las deliberaciones de un órgano de gobierno local constituye un aspecto esencial de su funcionamiento porque determina el modo en que debe ejercitar sus competencias. Con ella se pretende garantizar un modelo común basado en el favorecimiento de la eficacia del órgano local ejecutivo por antonomasia y, además, tiene una especial incidencia en los administrados cuyo conocimiento de la actuación de este órgano se ve directamente afectado por la regla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existencia de una normativa autonómica previa a la modificación de la legislación básica no impide al Estado modificar la regulación de los aspectos básicos del funcionamiento de la junta de gobierno siempre que no se exceda de lo que materialmente forma parte de las bases. Como declara el fundamento jurídico 5 e) de la STC 103/2013, de 25 de abril, la normativa básica en materia de régimen local debe ir dirigida a identificar aquel núcleo del ordenamiento que requiere de elementos comunes o uniformes en función de los intereses generales a los que sirve el Estado. Las bases así configuradas pueden alcanzar una mayor intensidad cuando afectan a las relaciones de las entidades locales con los administrados.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disposición final primera de la Ley de medidas para la modernización del gobierno local, en cuanto declara que el art. 70.1, párrafo segundo, LBRL constituye legislación básica del Estado en materia de régimen local,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recurrente alega, subsidiariamente, que el art. 70.1, párrafo segundo, LBRL, al establecer que no son públicas las sesiones de la junta de gobierno local, sin excepcionar los asuntos en que actúa por delegación del pleno, vulnera el principio democrático (art. 1.1 CE), la seguridad jurídica (art. 9.3 CE) y el derecho a la participación en los asuntos públicos (art. 23.1 CE). Se argumenta que las corporaciones locales son un ámbito de democracia cercano al ciudadano y si todas las sesiones de la junta de gobierno local son secretas, incluso las que resuelven competencias delegadas del pleno, se crea un mecanismo para alterar la obligación del carácter público de las sesiones del pleno de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Aragón no impugna la totalidad de la no publicidad de las sesiones de la junta de gobierno local, sino, exclusivamente, la prohibición del carácter público de las deliberaciones de la junta respecto de los asuntos en que actúa por delegación del pleno. De ese modo, tomando en consideración que la posibilidad de delegación de las atribuciones del pleno en la junta de gobierno local queda excluida del régimen de organización de los municipios de gran población (art. 123.3 LBRL), esta impugnación solo afecta a la junta de gobierno local en la configuración legal y con las atribuciones establecidas en el art. 23 LBRL para el resto de municipios que no sean de gran población y en los que, de conformidad con el art. 20.1 b) LBRL, debe existir esta junta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establece, en relación con el principio democrático proclamado en el art. 1.1 CE, que garantiza la participación de los ciudadanos en la vida pública y en el destino colectivo en aspectos que inciden en la democracia representativa, mediante la participación periódica en las elecciones de representantes en las diferentes esferas, nacional, autonómica y local. También se ha destacado que esta regla general de la democracia representativa aparece “complementada con determinados instrumentos de democracia directa, que han de operar, como es lógico y constitucionalmente exigido, no como minusvaloración o sustitución sino como reforzamiento de esa democracia representativa” (STC 103/2008, de 11 de septiembre, FJ 2). Del mismo modo, la jurisprudencia constitucional ha puesto en relación directa el principio estructural del carácter democrático del Estado con el derecho fundamental de los ciudadanos a participar en los asuntos públicos, directamente o por medio de representantes, establecido en el art. 23.1 CE (SSTC 51/1984, de 25 de abril, FJ 2; o 212/1993, de 28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publicidad de la actividad desarrollada por los órganos de carácter representativo se constituye como un instrumento que posibilita el control político de los elegidos por los electores y se proyecta en relación con la publicidad de sus sesiones, la publicación de las deliberaciones y los acuerdos adoptados, y el acceso a la documentación que los sirva de soporte. Esta exigencia de publicidad es, por tanto, no solo una genérica manifestación del principio democrático del Estado (art. 1.1 CE), sino también una manifestación del derecho de los ciudadanos a la participación directa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las corporaciones locales, esta exigencia de publicidad, incluyendo la de sus sesiones, es aplicable a la actividad del pleno municipal, en tanto que órgano de carácter representativo de una colectividad política territorial que somete a un procedimiento democrático decisiones, que incorporan fines políticos propios, reflejo del principio de pluralismo político y del ámbito de poder atribuido en virtud de la autonomía local garantizada en el art. 137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principio, esta exigencia de publicidad de las sesiones del pleno municipal, como órgano de representación política, no cabría hacerla extensiva a las sesiones de la junta de gobierno local, que está configurado legalmente como un órgano municipal ejecutivo tanto por su conformación orgánica como por la naturaleza de sus competencias. La exposición de motivos de la Ley de medidas para la modernización del gobierno local pone de manifiesto que el cambio de la tradicional denominación de la Comisión de gobierno a la vigente de junta de gobierno local tiende a destacar el carácter ejecutivo de dicho órgano. Ese carácter ejecutivo, además, se deriva, en primer lugar, de su composición orgánica, ya que no se integra de conformidad a los principios de representatividad y proporcionalidad del pleno, sino por el alcalde y una serie de concejales nombrados y separados libremente por el alcalde (art. 23.1 LBRL), y, en segundo lugar, de la única competencia que le es propia: la asistencia al alcalde en el ejercicio de sus atribuciones [art. 23.2 a) LBRL] y de la posibilidad de que le sean delegadas determinadas atribuciones por parte del alcalde [art. 23.2 b) y 23.4 LBRL]. La existencia de este tipo de órganos municipales ejecutivos está también reconocida en el art. 3.2 de la Carta europea de autonomía local (“BOE” núm. 47, de 24 de febrero de 1989), al afirmar que la autonomía local se ejerce por asambleas o consejos integrados por miembros elegidos por sufragio libre, secreto, igual, directo y universal y que pueden disponer de órganos ejecutivos responsables ante ellos mismos, siempre que su existencia no cause perjuicio al recurso a las asambleas de vecinos, al referéndum o a cualquier otra forma de participación directa de los ciudadanos, allí donde esté permitido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plantea el Gobierno recurrente, la junta de gobierno local de los municipios que no sean de gran población no solo tiene las competencias ya señaladas, sino que, además, también le corresponden las atribuciones que otro órgano municipal le delegue [art. 23.2 b) LBRL], incluyendo el pleno municipal (art. 22.4 LBRL). El art. 22.4 LBRL establece la posibilidad de que el pleno delegue el ejercicio de determinadas atribuciones que le son propias en el alcalde y en la junta de gobierno local. Esas atribuciones delegables son: el ejercicio de acciones judiciales y administrativas y la defensa de la corporación en materias de competencia plenaria [art. 22.2 j) LBRL]; la declaración de lesividad de los actos del ayuntamiento [art. 22.2 k) LBRL]; la concertación de las operaciones de crédito cuya cuantía acumulada, dentro de cada ejercicio económico, exceda del 10 por 100 de los recursos ordinarios del presupuesto —salvo las de tesorería, que le corresponderán cuando el importe acumulado de las operaciones vivas en cada momento supere el 15 por 100 de los ingresos corrientes liquidados en el ejercicio anterior— todo ello de conformidad con lo dispuesto en la Ley reguladora de las haciendas locales [art. 22.2 m) LBRL]; la aprobación de los proyectos de obras y servicios cuando sea competente para su contratación o concesión, y cuando aún no estén previstos en los presupuestos [art. 22.2 ñ) LBRL]; y las demás que expresamente les confieran las leyes [art. 22.2 q) LBRL]. Entre estas últimas cabe destacar, por ejemplo, las contrataciones de obras, de suministro, de servicios, de gestión de servicios públicos, los contratos administrativos especiales, y los contratos privados cuando su importe supere el 10 por 100 de los recursos ordinarios del presupuesto y, en cualquier caso, la cuantía de seis millones de euros, incluidos los de carácter plurianual cuando su duración no sea superior a cuatro años, siempre que el importe acumulado de todas sus anualidades supere el porcentaje indicado, referido a los recursos ordinarios del presupuesto del primer ejercicio, o la cuantía señalada; o la adjudicación de concesiones sobre bienes y la adquisición de bienes inmuebles y derechos sujetos a la legislación patrimonial cuando su valor supere el 10 por 100 de los recursos ordinarios del presupuesto o el importe de tres millones de euros, así como la enajenación del patrimonio, cuando su valor no supere el porcentaje ni la cuantía indicados, y de los bienes declarados de valor histórico o artístico cualquiera que sea su valor (disposición adicional segunda, apartados 1 y 2, del Real Decreto Legislativo 3/2011, de 14 de noviembre, por el que se aprueba el texto refundido de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las atribuciones que el pleno puede delegar en la junta de gobierno local no son meras decisiones administrativas de carácter estrictamente reglado en que esté ausente la necesidad de valorar y ponderar criterios discrecionales. Hay atribuciones que afectan a las más importantes decisiones sobre operaciones crediticias, contrataciones y concesiones de toda clase, aprobaciones de proyectos de obras y servicios y adquisiciones de bienes y derechos y su enajenación. El legislador otorga estas atribuciones al pleno para que sean adoptadas en sesiones dotadas de una completa publicidad que garantice el control ciudadano en la toma de posición y en el proceso de deliberación de sus representantes municipales, como una manifestación de participación directa de los ciudadanos en los asuntos públicos, tomando en consideración la importancia y relevancia política de esas decisiones en lo que afecta a los intereses municipales y la necesidad de que sean adoptadas con la máxima transparencia. La circunstancia de que, aprovechando el carácter preceptivo de la no publicidad de las sesiones de la junta de gobierno local y mediante la mera delegación de atribución del pleno en la junta, quedara imposibilitado el control de la ciudadanía sobre el proceso de la toma de decisiones, que, por su importancia, legalmente están sometidas al régimen de publicidad, supondría un menoscabo del principio democrático (art. 1.1 CE) y una vulneración de las posibilidades de participación directa del ciudadano en los asuntos públicos (art. 23.1 CE), en su concreta dimensión de control del ejercicio del cargo de sus representantes electos, sometidos a mandato representativo. Esto es, se configuraría como uno de esos supuestos referidos en el ya citado art. 3.2 de la Carta europea de autonomía local en que la existencia de un órgano municipal ejecutivo, por la conjunción de la posibilidad de que le sean atribuidas competencias delegadas por el pleno municipal y de que sus sesiones no sean públicas, podría ir en detrimento de la participación directa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conclusión no cabe oponer la posibilidad prevista legalmente de que estas mismas atribuciones sean delegadas en el alcalde, toda vez que, por lo que respecta a lo ahora debatido, al ser un órgano unipersonal no resulta predicable la proyección del principio de publicidad de la toma de decisión. Igualmente, tampoco resulta suficiente que los acuerdos de delegación se adopten por el pleno con las debidas garantías de publicidad que ostentan las deliberaciones del pleno. Esto permite a la ciudadanía realizar un control político sobre ese proceso deliberativo de delegación, pero no sobre la toma de decisión de la atribución delegada que, en los términos expuestos, es una atribución que legalmente queda sometida por su importancia a la exigencia de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hecho de que los acuerdos adoptados por delegación del pleno deban ser objeto de publicación o notificación de acuerdo con lo establecido en la legislación vigente tampoco resulta concluyente. Como se ha afirmado anteriormente, estos actos de publicación o notificación también son manifestaciones de la exigencia de publicidad y posibilidades de control ciudadano, y están más vinculados al principio de seguridad jurídica (art. 9.3 CE) (entre otras, STC 136/2011, de 13 de septiembre, FJ 9), pero no pueden ser considerados sustitutivos de la exigencia de publicidad de las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70.1, párrafo segundo, LBRL, en tanto establece que las sesiones de las juntas de Gobierno local no son públicas, es conforme con el principio democrático (art. 1.1 CE) y el derecho a la participación en los asuntos públicos (art. 23.1 CE), siempre que se interprete en el sentido de que no incluye las decisiones relativas a las atribuciones delegadas por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impugnación de la disposición final primera de la Ley de medidas para la modernización del gobierno local, en cuanto declara básico el artículo 70 bis.1 LBRL, y, subsidiariamente, de este artículo por ser contrario a la autonomía local va a ser analizada en este fundamento. El precepto declarado básico dice que “los ayuntamientos deberán establecer y regular en normas de carácter orgánico procedimientos y órganos adecuados para la efectiva participación de los vecinos en los asuntos de la vida pública local, tanto en el ámbito del municipio en su conjunto como en el los distritos, en el supuesto de que existan en el municipio dichas divisiones territoriales”. Se alega que al declarar básico el contenido del art. 70 bis.1 LBRL se ha eliminado la intervención autonómica, por atribuirse a los ayuntamientos la competencia para la regulación de procedimientos y órganos de participación. Subsidiariamente, se alega que el contenido del art. 70 bis.1 LBRL sería contrario a la autonomía local al establecer el carácter preceptiva de esta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declarado básico se incluye en el título “información y participación ciudadanas” y contiene un mandato dirigido a garantizar que en todos los municipios existan cauces de participación orgánicos y procedimentales que garanticen el principio de participación de los ciudadanos. Exige, además, que tanto los procedimientos como los órganos de participación se regulen en una norma de carácter orgánico adoptada, por tanto, con un quórum reforzado. La STC 103/2013, de 25 de abril, FJ 5 e), declara que en materia organizativa local la Constitución contempla tres ámbitos normativos: el estatal, el autonómico y el local. El Estado, al definir las bases debe establecer, en función de los intereses a los que este sirve, los elementos comunes o uniformes que permitan establecer el marco normativo unitario de aplicación a todo el territorio nacional, pero esta regulación no puede agotar todo el espacio normativo que debe corresponder al legislador autonómico en relación con las cuestiones relacionadas con la organización. De acuerdo con la doctrina expuesta, el mandato contenido en el precepto impugnado, que no agota en modo alguno todo el espacio normativo, no elimina la competencia de desarrollo de las bases en él establecidas erigiéndolas en el único límite a la competencia autoorganizatoria municipal. El precepto impugnado se limita a establecer una regla básica conforme a la cual se impone la regulación por los reglamentos orgánicos de procedimientos y órganos de participación en el marco de la legislación aplicable. Esta regulación, por su parte, comprende tanto las bases estatales —que varían en intensidad según se trate o no de municipios de régimen común— como la legislación autonómica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disposición final primera de la Ley de medidas para la modernización del gobierno local, en cuanto declara que el art. 70 bis.1 LBRL constituye legislación básica del Estado en materia de régimen local,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subsidiaria de que el art. 70 bis.1 LBRL vulnera la autonomía local ha sido resuelta en la STC 143/2013, de 10 de julio, FJ 6, concluyéndose que tampoco puede ser considerado inconstitucional por ese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impugnación de la disposición final primera de la Ley de medidas para la modernización del gobierno local en cuanto declara básico el artículo 85.2 b) LBRL, va a ser analizada en este fundamento. El Gobierno recurrente afirma que la declaración como legislación básica de un precepto que exige que la gestión indirecta de los servicios públicos se realice mediante las formas previstas para el contrato de gestión de servicios públicos de la Ley de contratos de las Administraciones públicas, elimina la competencia autonómica para el desarrollo de las bases en materia organizativa.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gestión indirecta consiste en encomendar a un tercero la función de prestación de determinados servicios de competencia de la Administración y tiene por objeto una prestación típica de los contratos regulados por la legislación de contratos públicos según el art. 149.1.18 CE. Por esta razón, la definición de los contratos mediante los que se podrá instrumentar la gestión indirecta es esencial para de determinar la intensidad con que se aplicarán los preceptos de la legislación contractual, tanto en cuanto a la preparación y adjudicación del contrato como en cuanto al régimen jurídico aplicable. Por tanto, forma parte de la legislación básica del Estado en materia de contratos. No puede admitirse la conclusión a la que nos llevaría el argumento de la parte recurrente de que las bases deben ser más reducidas en lo que respecta a la contratación local por la necesidad de dejar espacio a las Comunidades Autónomas para regular los aspectos organizativos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disposición final primera de la Ley de medidas para la modernización del gobierno local, en cuanto declara que el artículo 85.2 b) LBRL constituye legislación básica del Estado,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impugnación de la disposición final primera de la Ley de medidas para la modernización del gobierno local, en cuanto declara básico el artículo 85 bis.1 y 2 LBRL —regulación de las especialidades que resultan de aplicación a las entidades instrumentales locales como consecuencia de la obligación de regirse por lo dispuesto en la Ley 6/1997, de 14 de abril, de organización y funcionamiento de la Administración General del Estado y de cuál debe ser el contenido de los estatutos de las entidades instrumentales locales—, y, subsidiariamente, de ambos preceptos por ser contrarios a la autonomía local ha sido resuelta en la STC 103/2013, de 25 de abril, FJ 5 d), concluyéndose que la declaración de que constituyen legislación básica del Estado en materia de régimen local no es contraria a la Constitución y que su contenido tampoco vulnera la autonomía local.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constitucional el art. 70.1, párrafo segundo, de la Ley 7/1985, de 2 de abril, reguladora de las bases de régimen local, en la redacción dada por el artículo primero de la Ley 57/2003, de 16 de diciembre, de medidas para la modernización del gobierno local, siempre que se interprete en el sentido de que no se refiere a las decisiones relativas a las atribuciones delegadas por el pleno, conforme se ha expuesto en el fundamento jurídico noveno.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al que se adhieren los Magistrados don Santiago Martínez-Vares García, don Pedro José González-Trevijano Sánchez y don Enrique López y López, relativo a la Sentencia del Pleno de fecha 26 de septiembre de 2013 dictada en el recurso de inconstitucionalidad núm. 1741-2004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confiere el art. 90.2 de la Ley Orgánica del Tribunal Constitucional (LOTC) y con el máximo respeto a la opinión de la mayoría del Pleno, dejo constancia de mi opinión discrepante puesta ya de manifiesto durante la deliberación de la Sentencia que ha resuelto el recurso de inconstitucionalidad interpuesto por el Gobierno de Aragón contra la disposición final primera de la Ley 57/2003, de 16 de diciembre, de medidas para la modernización del gobierno local, en cuanto declara básicos los siguientes artículos de la Ley 7/1985, de 2 de abril, reguladora de las bases del régimen local, a los que confiere nueva redacción: art. 4.2, en el inciso que dice “excepto en el supuesto de las mancomunidades, que se rigen por lo dispuesto en el apartado siguiente”; art. 4.3; art. 13.3; art. 20.1 d); art. 36.1 c) y d); art. 70.1, párrafo segundo; art. 70 bis.1; art. 85.2 b); art.85 bis.1, desde “con las siguientes especialidades” hasta el final; art. 85 bis.2; art. 123.1 c); art. 131 y art. 132; y, subsidiariamente, contra los arts. 20.1 d); 70.1, párrafo segundo; art. 70 bis.1; art.85 bis.1, desde “con las siguientes especialidades” hasta el final; art. 85 bis.2; art. 123.1 c); art. 131 y art. 132.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refiere al fundamento jurídico 9 y al fallo de la Sentencia, en cuanto decide “declarar constitucional” lo dispuesto en el impugnado art. 70.1, párrafo segundo, de la Ley reguladora de las bases del régimen local, “siempre que se interprete en el sentido de que no se refiere a las decisiones relativas a las atribuciones delegadas por el Pleno, conforme se ha expuesto en el fundamento jurídico noveno”.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Considero adecuado comenzar por recordar que la función que, dentro del modelo de control concentrado de constitucionalidad, corresponde a este Tribunal mereció ser calificada como “legislación negativa”. Se pretendía con ello subrayar que no es tarea nuestra evaluar el mayor o menor acierto del legislador a la hora de plasmar en textos legales las exigencias, siempre tan mínimas como imprescindibles, fijadas en la Constitución. Dicha función corresponde a los auténticos protagonistas del debate legislativo, en apoyo o crítica de los proyectos que se someten a su deliberación y voto, a quienes no debemos en ningún caso suplantar. Los miembros del Tribunal Constitucional no han de sentirse llamados a crear derecho “positivo”, ni a mejorar el puesto por quien corresponde, sino limitarse modestamente a la función “negativa” de extraer del ordenamiento jurídico las normas o actos que no satisfacen las mínimas exigencias ya aludidas. Esto explica el juego del principio de conservación de la norma, que lleva a evitar en lo posible una declaración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bien cierto que nuestro modelo de control constitucional, como el de tantos otros de países de nuestro entorno, ha superado su matriz originaria, al incorporar figuras como el recurso de amparo; igualmente al dar entrada a principios que, aparte de informar las normas reconocedoras de derechos fundamentales, se convierten en “rectores de la política social y económica”. Su carácter optimizador, resaltado igualmente por la doctrina, impulsa acciones positivas como las indicadas por el propio artículo 9.2 del texto constitucional. Estas interpretaciones expansivas, que apuntan a la efectividad real de los principios, avalan con frecuencia disposiciones legislativas cuestionadas o guían una interpretación extensiva de normas garantizadoras de derechos; lo que no es tan explicable es que se recurra a ello para restringir, como en este caso, el legítimo campo de acción que corresponde al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finalidad de la labor de los Magistrados convertir en exigencia constitucional el modelo legislativo que consideren más razonable, ni en consecuencia declarar inconstitucionales, por irrazonables, los que con él no se identifiquen.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considera contrario al principio democrático que las sesiones de la Junta de Gobierno Local de un municipio de régimen común no sean públicas, cuando se aborde en ellas algún asunto que haya sido objeto de delegación por parte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existencia de tales Juntas viene claramente motivada, en paralelo a principio tan democrático como la división de poderes, por la conveniencia de que actos en los que predominan aspectos técnicos puedan solventarse en un contexto ejecutivo, ajeno a las exigencias de una pública deliberación. La posible opción discrecional entre una u otra decisión en este contexto, lejos de desvirtuar su carácter más ejecutivo que deliberativo, podrá en ocasiones venir exigido por la materia objeto de acuerdo. No es por tanto el posible agobio de los órdenes del día del Pleno, ni la mayor o menor importancia del objeto de acuerdo lo que justifique la oportuna delegación. Esta ha podido ya ser, en todo caso, públicamente deliberada por el Pleno, que tendrá igualmente oportunidad de controlar sus resultados.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limitación aparente del principio de publicidad, se produce en el proceso de deliberación que da lugar a la aprobación del acto administrativo, puesto que éste último, una vez adoptado, es público de forma imperativa. El principio de publicidad es un principio instrumental que tiene como fin garantizar el principio democrático (art. 1.1 CE) que da lugar al derecho a la participación en los asuntos públicos de los ciudadanos (art. 23.1 CE), mas no es un fin en sí mismo, de tal modo que su configuración tiene pleno carácter legal. Podrá considerarse más o menos oportuna la publicidad del proceso de adopción de un acuerdo por parte de una Junta de Gobierno Local, pero ello en modo alguno puede vulnerar la Constitución por contrariar el principio y el derecho fundamental por la Sentencia mencionados. Existe, por el contrario, la previsión constitucional de que las actuaciones judiciales serán públicas (art. 120 CE), con lo que en ellas no se trata de una exigencia instrumental, sino que corresponde a la naturaleza esencial de tales actuaciones; lo que no ocurre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cuestiona que la propia ley no haya considerado exigible tal publicidad cuando el acuerdo lo adopte el Alcalde por delegación del Pleno, convirtiendo su tarea en una continua rueda informativa. Por otra parte, estimar antidemocrático que los acuerdos de la Junta sobre esos aspectos ejecutivos se realicen sin asistencia de público resulta igualmente tan fuera de lugar como lo sería considerar inconstitucional que, en las Cortes Generales, se desarrollen en similares condiciones debates en Comisión con competencia legislativa plena. En efecto, tanto el art. 64.1 del Reglamento del Congreso de los Diputados como el 75 del Reglamento del Senado, así como en las diferentes regulaciones, recogidas en idénticos términos, en los Parlamentos autonómicos prevén posibilidad similar. Por dicha vía cabría incluso dictaminar incluso la inconstitucionalidad del art. 80 CE que, declarando el carácter público de las sesiones del Pleno, habilita sin embargo acuerdos en contrario de cada Cámara adoptados por mayoría absoluta o con arreglo a los Reglamentos parlamentarios; interpretación a todas luces fuera de lugar. La argumentación de que se violentan el principio democrático del art. 1.1 CE y el art. 23.1, por infracción del derecho de participación en los asuntos públicos, al hilo de una genérica y difusa invocación de tales principios y derechos, más bien imbuida de una concepción roussoniana de la democracia directa, no parece, en suma, ni suficiente, ni convincente.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admitiendo la postura antedicha, sería bastante más razonable excluir la posibilidad de que el Pleno delegue determinadas materias, antes que obligar a que sean en la Junta tratadas con publicidad. Dar paso a órdenes del día de las Juntas, en las que solo unos puntos habrían de cumplir las exigencias de publicidad resulta innecesariamente complejo; menos adecuado aún sería extender en tales casos dicho imperativo a todos los puntos sometidos a acuerdo. El sereno cumplimiento de las exigencias constitucionales suele estar reñido con una forzada artificialidad.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parece razonable que la Junta de un municipio de régimen común tenga a partir de ahora que tratar en sesiones abiertas asuntos que la Junta de un municipio de “gran población” puede seguir deliberando en secreto. Ello es consecuencia de que la exigencia de publicidad se hace ahora depender, no del tipo de función, sino del órgano que la tiene atribuida. En efecto el legislador ha optado por que prácticamente todas las competencias “administrativas” del Pleno de un municipio de régimen común correspondan en un municipio de “gran población” al Alcalde y a la Junta; sin que se haya entendido que en estos casos el principio democrático exija publicidad alguna. Por si fuera poco, al haberse considerado a algunos municipios poco poblados —si son capital de provincia— como de gran población, nos encontraremos con que el principio democrático pasará a exigir publicidad en las sesiones de su Junta de Gobierno a municipios de régimen común con más población que los aludidos, a los que no se les exige.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Los razonamientos de la Sentencia habrían de llevar coherentemente a la declaración de inconstitucionalidad del art. 70.1, párrafo segundo de la ley recurrida. El presunto carácter interpretativo que pretende atribuirse al fallo no es tal; hacer decir a una ley precisamente lo contrario de lo que dice no guarda relación con actividad interpretativa alguna. Afirmar que “el art. 70.1, párrafo segundo, LRBL, en tanto que establece que las sesiones de las Juntas de Gobierno Local no son públicas es conforme con el principio democrático (art. 1.1 CE), y el derecho a la participación en los asuntos públicos (art. 23.1 CE), siempre que se interprete en el sentido de que no incluye las decisiones relativas a las atribuciones delegadas por el Pleno”, es imponer una interpretación que conduce a la inaplicabilidad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resulta tampoco correcta la fórmula empleada en el fallo para expresar la declaración de conformidad. Este Tribunal no declara la constitucionalidad de las leyes, sino, en su caso, su inconstitucionalidad (art. 39 LOTC). En consecuencia, lo que debería haber declarado la Sentencia de la que discrepo en el apartado 1 del fallo es que el art. 70.1, párrafo segundo, de la ley recurrida no es inconstitucional siempre que se interprete en los términos establecidos en el fundamento jurídico 9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sin perjuicio de que, por las razones que antes han quedado expuestas, el recurso de inconstitucionalidad debió ser desestimado en su integridad, por cuanto el art. 70.1, párrafo segundo, de la ley recurrida no supone menoscabo alguno del principio democrático (art. 1.1 CE) ni del derecho a la participación en los asuntos públicos (art. 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estas reflexiones, habiendo asumido gustosamente las sugerencias de los Magistrados que a él se adhieren, me veo obligado a emitir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septiembre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