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10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5474-2012, promovido por el Gobierno de Canarias contra los arts. 2 [“De la aprobación de los estados de gastos e ingresos de los Entes referidos en las letras a) a d) del art. 1 de la presente Ley”] y 6 [“De los presupuestos de los Entes referidos en las letras f), g), h), i) y j) del art. 1 de esta Ley”], en cuanto recogen los créditos de los capítulos de gastos VI y VII; 119.1 [“Fondos de Compensación Interterritorial”] y partidas concordantes del estado de gastos; y sección 98, concepto 453 del estado de ingresos de la Ley 2/2012, de 29 de junio, de presupuestos generales del Estado para el año 2012. Ha intervenido y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28 de septiembre de 2012 la Directora General del servicio jurídico del Gobierno de Canarias, en la representación que legalmente ostenta, interpuso recurso de inconstitucionalidad contra los arts. 2 [“De la aprobación de los estados de gastos e ingresos de los Entes referidos en las letras a) a d) del art. 1 de la presente Ley”] y 6 [“De los presupuestos de los Entes referidos en las letras f), g), h), i) y j) del art. 1 de esta Ley”], en cuanto recogen los créditos de los capítulos de gastos VI y VII; 119.1 [“Fondos de Compensación Interterritorial”] y partidas concordantes del estado de gastos; y sección 98, concepto 453 del estado de ingresos de la Ley 2/2012, de 29 de junio, de presupuestos generales del Estado para el año 2012 (en adelante,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razonamientos que a continuación se exponen, la demanda entiende vulnerados los arts. 156.1, 157, 158 y la disposición adicional tercera, de la Constitución, el art. 46 del Estatuto de Autonomía de Canarias (EACan, en adelante) y los arts. 1, 2.1 d), 13.4 y 16.3 c) de la Ley Orgánica 8/1980, de 22 de septiembre, de financiación de las Comunidades Autónomas (LOFCA,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afirmando la vinculación entre la presente impugnación y el recurso de inconstitucionalidad núm. 2410-2008, que interpuso la misma parte contra los arts. 2, 6 y 119.1, y las secciones 33 y 98, de la Ley 51/2007, de 26 de diciembre, de presupuestos generales del Estado para 2008, preceptos de contenido similar a los ahora impugnados y que fueron combatidos por los mismos motivos que los del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los motivos que fundamentan la impugnación se concretan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119.1 de la Ley 2/2012, que determina las cuantías de los fondos de compensación interterritorial para 2012, y su reflejo presupuestario contenido en la sección 33, se reputan inconstitucionales por contravenir el art. 16.3 c) LOFCA, al no ajustarse las cuantías presupuestadas al mandato de que la Ley de presupuestos del Estado dote adicionalmente el fondo de compensación con una partida relativa a la variable “región ultraperiférica”, con la consecuencia de que dichos fondos habrían sido dotados en cuantía inferior a la legalmente exigible. En este punto, se refiere la demanda brevemente al sistema de financiación de las Comunidades Autónomas que se contiene en los arts. 156 a 158 CE, para a continuación exponer la regulación del Fondo de Compensación Interterritorial que, sin perjuicio del denominado “fondo complementario”, está en realidad subdividido en tres fondos por así disponerlo el art. 16.3 LOFCA, letras a) a c). Así, mientras que lo regulado en la letra a) del art. 16.3 LOFCA es estrictamente el Fondo de Compensación Interterritorial, lo que se regula en los apartados b) y c) son fondos distintos, que se nutren según el escrito de nuevos recursos presupuestarios. Estos dos fondos adicionales, no precisan de ninguna ley ordinaria de desarrollo, pues considera la demanda que la propia LOFCA tasa con precisión el método de cálculo, dejando una puerta abierta a que la dotación sea incrementada, pero nunca disminuida.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a continuación que el art. 119.1 de la Ley 2/2012, y la correspondiente sección 33, establecen una cuantía agregada de los fondos que asciende a 671.580 miles de euros, cuando debió ser una dotación mayor. En concreto, tras la modificación del art. 2 de la Ley 22/2001, de 27 de diciembre, reguladora de los fondos de compensación interterritorial (en adelante, Ley 22/2001), está concretada la cantidad adicional al 4,02 por 100 a que se refiere la LOFCA, y que deberá percibir esta Comunidad Autónoma. Y puesto que no se ha dotado, según la demanda, dicho porcentaje adicional (4,02), la Comunidad de Canarias habría dejado de percibir, según el cálculo de la demanda, la cantidad de 26,32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consideran inconstitucionales los arts. 2 y 6 de la Ley 2/2012, que recogen los capítulos VI y VII, incluidos los estados de gastos con sus correspondientes créditos, relativos a la inversión del Estado. Se considera que estos preceptos vulneran la garantía institucional prevista en la disposición adicional tercera de la Constitución y en el art. 46 EACan, ya que suponen una modificación del régimen económico y fiscal de Canarias, que además se ha llevado a cabo sin previo informe o audiencia al Parlamento de Canarias, como exige la norma estatutaria en su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exponen las notas esenciales del régimen económico y fiscal canario que, como estableció la STC 35/1984, de 13 de marzo, tiene un reconocimiento constitucional expreso que constituye una “excepción al régimen constitucional común” y que determina que, de acuerdo con el art. 46.3 EACan, su modificación requiera de informe previo del Parlamento canario, y que, a tenor del apartado 4 del mismo precepto, el Parlamento canario deba ser oído “en los proyectos de legislación financiera y tributaria que afecten al régimen económico-fiscal de Canarias”. Se citan igualmente en apoyo del alegato las SSTC 16/2003, de 30 de enero, 137/2003, de 3 de julio y 109/2004, de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régimen económico y fiscal radica según la demanda en que los preceptos impugnados habrían incumplido el art. 96 de la Ley 20/1991, de 7 de junio, de modificación de los aspectos fiscales del régimen económico y fiscal de Canarias, que exige que las inversiones estatales en la Comunidad Autónoma “no sean inferiores al promedio que corresponda para el conjunto de las Comunidades Autónomas, excluidas de este cómputo las inversiones que compensen del hecho insular”. De acuerdo con la demanda, los créditos presupuestarios citados reflejan que la inversión teórica media estatal prevista para 2012 asciende a 582.666 € (miles de euros), mientras que las inversiones reales del Estado en la Comunidad Autónoma de Canarias se prevén en 384.304 € (miles de euros), por lo que hay una diferencia de inversión de 198.361 € (miles de euros). Es esta diferencia lo que determina, según la demanda, la inconstitucionalidad de los arts. 2 y 6 de la Ley 51/2007, respecto de los capítulos VI y VII incluidos en los estados de gasto con sus créditos correspondientes, relativos a la inversión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dirige la demanda contra la denominada “compensación a satisfacer por la Comunidad Autónoma de Canarias por la supresión del IGTE”, que aparece reflejada en el estado de ingresos del presupuesto del Estado (sección 98), concretando la imputación de inconstitucionalidad en su impacto negativo sobre los ingresos que corresponden a la Comunidad Autónoma, lo que se considera que contraviene los arts. 156.1 y 157.1 CE, y el art. 49 EACan, toda vez que dicha compensación opera, según la demanda, sobre la participación en ingresos del Estado, actualmente denominada “fondo de suficiencia”, reduciendo las transferencias recibidas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la demanda detalladamente el origen de dicha compensación, en la Ley 20/1991, de 7 de junio, de modificación de los aspectos fiscales del régimen económico-fiscal de Canarias, describiendo asimismo el sistema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concreta en dos los motivos de inconstitucionalidad de la citada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contraviene el principio de autonomía financiera, toda vez que modifica la participación de la Comunidad Autónoma de Canarias en los ingresos del Estado a través del fondo de suficiencia y su valor inicial, ya que la compensación se detrae de las transferencias de dicho fondo, con lo que se priva a esta Comunidad Autónoma de los recursos necesarios que fueron calculados para el cumplimiento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demanda se considera que la compensación carece de fundamento normativo, por lo que se infringe también, con independencia de lo anterior, el art. 9.3 CE. Se describe en el escrito la fórmula concreta por la que se fija dicha compensación, contenida en el acuerdo de la Comisión Mixta Administración del Estado-Comunidad Autónoma de Canarias, celebrada el 20 de octubre de 1993. A partir de ahí, el hecho de que este acuerdo no esté publicado en ningún boletín oficial, unido a que la Ley 21/2001, de 27 de diciembre, por la que se regulan las medidas fiscales y administrativas del nuevo sistema de financiación de las Comunidades Autónomas de régimen común y ciudades con Estatuto de Autonomía vigente en el momento de interposición de la demanda, no contenga ninguna previsión relativa a la citada compensación determina la inconstitucionalidad de la misma, ya que ésta se traduce en un descuento del fondo de suficiencia, con infracción del art. 13.4 LOFCA, alterando además en general el modelo de financiación autonómica que esta norma establece. Carente de cobertura legal, según la demanda, y tras alegar que dicha compensación podría vulnerar el principio de seguridad jurídica recogido en el art. 9.3 de la Constitución, se estima que, en todo caso, la misma debe considerarse derogada por el nuevo sistema de financiación de las Comunidades Autónomas de régimen común, aprobado por la Ley 21/2001. Se afirma además, por último, que la compensación es también incompatible con los principios de eficacia y coordinación del art. 103.1 CE, que se oponen a la redundancia que supone la existencia de transferencias recíprocas.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octubre de 2012, el Pleno del Tribunal acordó admitir a trámite el recurso de inconstitucionalidad promovido por el Gobierno de Canarias y, en su representación y defensa, por la Letrada del mismo, contra los arts. 2, 6 y 119.1, y las secciones 33 y 98, de la Ley 2/2012, de 29 de junio, de presupuestos generales del Estado para el año 2012. Asimismo,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estimen convenientes. Por último, se acordó publicar la incoación del proceso en el “Boletín Oficial del Estado”, lo que se llevó a efecto en el número 256, de 24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23 de octubre de 2012 tuvo entrada en el Tribunal el escrito del Abogado del Estado por el que solicita se le tenga por personado en el presente recurso, así como una prórroga del plazo concedido para formular alegaciones por el plazo máximo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octubre de 2012 el Pleno del Tribunal acordó incorporar a las actuaciones el anterior escrito del Abogado del Estado y conceder la prórroga solicitada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con fecha de 24 de octubre de 2012, el Presidente del Congreso de los Diputados comunicó a este Tribunal que dicha Cámara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31 de octubre de 2012 tuvo entrada en el Registro General de este Tribunal un escrito del Senado por el que se comunica el acuerdo adoptado por la Mesa de la Cámara de personarse en el procedimiento y ofrecer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noviembre de 2012 tuvo entrada en el Registro General de este Tribunal el escrito de alegaciones del Abogado del Estado, en la representación que legalmente ostenta, por el que se solicita la desestimación total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resaltando la conexión con el recurso número 2410-2008, interpuesto también por el Gobierno de Canarias contra análogos preceptos de la Ley 51/2007, y con similares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propone la desestimación íntegra del recurso con base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pretendida vulneración del art. 16.3 c) LOFCA, comienza el escrito exponiendo el marco normativo en el que se desenvuelve el procedimiento, con cita de la STC 238/2007, de 21 de noviembre, FJ 3, sobre el Fondo de Compensación Interterritorial, y de la exposición de motivos de la Ley 22/2001, de 27 de diciembre, reguladora de los fondos de compensación interterritorial (Ley 22/2001), que modificó sustancialmente el régimen jurídico de dichos fondos hasta entonces vigente. A partir de esta exposición, el Abogado del Estado interesa la desestimación del primer motivo de inconstitucionalidad, toda vez que, frente a lo que se sostiene en la demanda, no se prevé en la LOFCA ni en la citada Ley 22/2001 ningún fondo específico para la Comunidad Autónoma de Canarias, sino que lo que establece la norma es la obligación de ampliar el fondo con los porcentajes previstos para la región ultraperiférica, a lo que da cumplimiento la norma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expone que la Ley de presupuestos para 2012 prevé una dotación para los fondos de un 40,45 por 100 de la base de cálculo de la inversión pública aprobada por los presupuestos generales del Estado, esto es, muy por encima del mínimo exigido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considera que la demanda extrae una conclusión que no se deriva de la LOFCA ni tampoco de la norma que regula los fondos, Ley 22/2001, a saber, que el porcentaje del 4,02 previsto en el art. 16.3 c) LOFCA debe aplicarse necesariamente a la Comunidad Autónoma de Canarias y no puede distribuirse entre el resto de Comunidades Autónomas beneficiarias. Sin embargo, esto es contrario a la interpretación del precepto que considera más adecuada a su propio tenor literal, pues el único lugar en el que se establece una dotación específica para esta Comunidad Autónoma es en el art. 2.1.c) de la Ley 22/2001.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inconstitucionalidad de la compensación del impuesto general sobre el tráfico de empresas en vulneración de los arts. 2.1 d) y 13 LOFCA, se refiere el escrito al origen de esta compensación, que radica en la supresión de este tributo estatal a consecuencia de la creación del impuesto general indirecto de Canarias, y todo ello en el marco de la transformación del régimen especial canario, reflejado en el “Acuerdo de bases sobre la reforma del régimen económico fiscal de Canarias”, suscrito en Madrid el 24 abril 1990, entre el Estado, la Comunidad Autónoma y los Cabildos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además el escrito que el recurso de inconstitucionalidad planteado por el Gobierno de Canarias no parece tener en cuenta la Ley 22/2009, de 18 diciembre, reguladora del sistema de financiación de las Comunidades Autónomas de régimen común y ciudades con Estatuto de Autonomía, cuya disposición adicional segunda se refiere expresamente a dicha compensación, con lo que decae el argumento de la ilegalidad de la misma. Se refiere además el escrito del Abogado del Estado al acuerdo de la Comisión mixta de transferencias Administración del Estado-Comunidad Autónoma de Canarias, en cuyo punto sexto se refiere expresamente tanto a la supresión del impuesto general sobre el tráfico de empresas como a la compensación al Estado por la pérdida de ingresos para la hacienda estatal que supuso la creación, en lugar de éste, del impuesto general indirecto de Canarias, toda vez que mientras que la recaudación del impuesto general sobre el tráfico de empresas correspondía al Estado, el rendimiento del impuesto general indirecto de Canarias corresponde íntegramente a la Comunidad Autónoma. En concreto, refiere el escrito que el método para cuantificar esta compensación es resultado del acuerdo adoptado en el seno de la reunión de la Comisión mixta de transferencias Estado-Comunidad Autónoma de Canarias del 20 octubre 1993. Añade que, en todo caso, esta compensación no merma el derecho a la obtención del fondo de suficiencia, cuando proceda, sino que se trata de una compensación más bien técnica, que precisamente impide el cruce de transferencias, facilitando la más eficiente compensación. Cita igualmente el escrito el art. 12 de la Ley 19/1994, de 6 julio, de modificación del régimen económico y fiscal de Canarias, que prevé expresamente la compensación al Estado por la eliminación del impuesto general sobre el tráfico de empresas. Quedan así descartados los argumentos de inconstitucionalidad tanto sobre la base de la publicidad de las normas, como sobre la base de la autonomía financiera, pues ni se trata de una compensación sin apoyo legal, ni tampoco supone ninguna merma de la suficiencia de esta Comunidad Autónoma. Además, la compensación no puede considerarse derogada por el sistema de financiación aprobado por la Ley 21/2001, como sostiene la demanda, para lo que considera conveniente dar por reproducidos los argumentos desplegados en el recurso 2410-2008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considera el escrito que debe ser desestimado también el último argumento de inconstitucionalidad, según el cual se habría modificado el régimen económico y fiscal de Canarias en vulneración de la garantía institucional prevista en la disposición adicional tercera de la Constitución y el art. 46 EACan, toda vez que la Ley de presupuestos impugnada habría consignado una cuantía de inversión estatal en Canarias no ajustada a lo prescrito en los arts. 95 y 96 de la Ley 20/1991, de 7 junio, de modificación de los aspectos fiscales del régimen económico y fiscal de Canarias. Para empezar, porque de acuerdo con la doctrina constitucional, y en concreto la STC 62/2003, de 27 de marzo, no cabe extraer de la norma estatutaria y de la Constitución, como sostiene la demanda, la garantía de un contenido inalterable del régimen fiscal canario. A continuación, afirma que en todo caso no puede entenderse modificado el régimen especial canario, pues no se ha modificado ninguna de sus normas reguladoras, por lo que la cuestión será, en todo caso, su correcta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fondo de la cuestión, niega el escrito que se haya realizado la pretendida inversión inferior a la media. Para empezar, porque el art. 96 de la Ley 20/1991, único que parece considerarse infringido, dispone que las inversiones estatales no sean inferiores al promedio que corresponda para el conjunto de las Comunidades Autónomas, lo que debe en todo caso interpretarse teniendo en cuenta el fundamento jurídico 138 de la STC 31/2010, de 28 junio. De ahí se puede concluir que en todo caso el contenido del art. 96 de la Ley 20/1991 no vincula a las Cortes Generales. En todo caso, añade que el precepto es susceptible de muy diversas interpretaciones, para empezar porque su aplicación se basa en la comparación con un promedio, sin que se precise la forma de cálculo del mismo, lo que otorga un amplio margen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relación con el presupuesto para 2012 cuyas partidas se impugnan, sostiene el escrito que los cálculos de la demandante no son correctos porque sólo incluye las inversiones que en el presupuesto aparecen territorializadas, sin tener en cuenta las inversiones no territorializadas. Además, no incluye los arts. 75 y 76 del presupuesto de gasto de los presupuestos generales del Estado relativos a transferencias a las Comunidades Autónomas y que supondría que la cifra aumentará hasta los 407 millones de euros, según datos aportados en el escrito adjunto que se refiere asimismo a diversos acuerdos entre el Estado y la Comunidad Autónoma de Canarias cuya finalidad precisamente ha sido convenir la forma de aplicación del citado art. 96. Finaliza afirmando que la inversión regionalizada en Canarias en los presupuestos generales del Estado para 2012 ha disminuido en un 21,28 por 100 frente a los de 2011, mientras que la media de reducción de la inversión regionalizada en el conjunto de España ha sido del 24,3 por 100. En consecuencia, los presupuestos han mejorado la posición relativa de Canarias en el conjunto del Estado en materia de inversiones, incluso teniendo en cuenta el ejercicio presupuestariamente tan complicado que ha sido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Abogacía del Estado solicita la desestimación total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ocho de octubre de dos mil trece, se acordó señalar para deliberación y votación de la presente Sentencia el día diez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el Gobierno de Canarias impugna los arts. 2 [“De la aprobación de los estados de gastos e ingresos de los Entes referidos en las letras a) a d) del art. 1 de la presente Ley”] y 6 [“De los presupuestos de los Entes referidos en las letras f), g), h), i) y j) del art. 1 de esta Ley”], en cuanto recogen los créditos de los capítulos de gastos VI y VII; 119.1 [“Fondos de Compensación Interterritorial”] y partidas concordantes del estado de gastos, y sección 98, concepto 453 del estado de ingresos de la Ley 2/2012, de 29 de junio, de presupuestos generales del Estado para el año 2012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con los argumentos que han quedado recogidos en el antecedente primero, que se han vulnerado los arts. 156.1, 157 y 158, y la disposición adicional tercera de la Constitución española; el art. 46 del Estatuto de Autonomía de Canarias (EACan) y los arts. 1, 2.1 d), 13.4 y 16.3 c) de la Ley Orgánica 8/1980, de 22 de septiembre, de financiación de las Comunidades Autónomas (LOFCA). El Abogado del Estado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partes en el proceso han puesto de manifiesto, en sus respectivos escritos, la existencia de una sustancial vinculación entre la presente impugnación y el recurso de inconstitucionalidad número 2410-2008, que interpuso la misma demandante contra los arts. 2, 6 y 119.1, y las secciones 33 y 98, de la Ley 51/2007, de 26 de diciembre, de presupuestos generales del Estado para 2008. Esta vinculación se extiende tanto al contenido de los preceptos, que es sustancialmente el mismo salvo por las cuantías en particular, como también a los motivos impugnatorios, que en lo esencial son coincidentes a los que dieron lugar a la impugnación de la Ley 51/2007.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recurso de inconstitucionalidad en los términos expuestos podemos concluir que las cuestiones aquí planteadas han sido ya resueltas por nuestra STC 101/2013, de 23 de abril de 2013, que resolvió el citado recurso de inconstitucionalidad número 2410-2008, planteado por el Gobierno de Canarias, en relación con diversos preceptos de la Ley 51/2007, de 26 de abril, de presupuestos generales del Estado para el año 2008, doctrina que procede ahora trasladar a los distintos motivos de inconstitucionalidad, lo que permite desestimar íntegramente la presente demanda,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119.1 de la Ley 2/2012, que determina las cuantías de los fondos de compensación interterritorial para 2012, y su reflejo presupuestario contenido en la sección 33, se reputan inconstitucionales en los términos ya descritos porque se considera que contraviene el art. 16.3 c) LOFCA al no ajustarse las cuantías presupuestadas al mandato de que la Ley de presupuestos del Estado dote adicionalmente el fondo de compensación con una partida relativa a la variable “región ultraperiférica”, con la consecuencia de que el fondo habría sido dotado en cuantía inferior a la legalmente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impugnatorio, dirigido contra el mismo precepto de la Ley 51/2007, fue abordado en los fundamentos jurídicos 4 a 6 de la citada STC 101/2013, que procede dar por reproducidos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Entonces concluimos que la interpretación de los fondos de compensación interterritorial que sostiene la demanda no se aviene al propio texto de la norma, que tan sólo exige, de acuerdo con nuestra doctrina, que los dos fondos, de compensación y complementario, no sean inferiores al 30 por 100 de la inversión del Estado. En este caso, y como hace constar el Abogado del Estado en su escrito, es claro que la cuantía agregada dotada en concepto de fondos de compensación interterritorial en la Ley 2/2012 supera con creces el mínimo establecido en el bloque de la constitucionalidad, pues el propio art. 119 de la Ley 2/2012 eleva este porcentaje al 40,45 por 100 en el caso de Canarias, al tener en cuenta la variable de “región ultraperiférica”.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2 y 6 de la Ley 2/2012, que recogen los capítulos VI y VII, incluidos los estados de gastos con sus correspondientes créditos, relativos a la inversión del Estado, se consideran vulneradores de la garantía institucional prevista en la disposición adicional tercera de la Constitución y en el art. 46 EACan, ya que suponen una modificación del régimen económico-fiscal de Canarias, que además se habría llevado a cabo sin previo informe o audiencia al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11 de la STC 101/2013 descartamos la inconstitucionalidad de los homónimos preceptos de la Ley de presupuestos para 2008 por considerar que no se había modificado ninguna de las normas reguladoras del régimen especial canario, que la previsión de inversión era una estimación y que los compromisos a que se refiere la Ley 20/1991 de modificación de los aspectos fiscales del régimen económico fiscal de Canarias no constituyen un recurso que deba sin más hacerse constar en los presupuestos generales del Estado sino que este tipo de asignaciones deben realizarse atendiendo a la totalidad de los instrumentos de financiación autonómica, a las necesidades de cada una y a las posibilidades reales del sistema financiero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impugnación debe también desestimarse dando por reproducido el citado fundamento jurídico 11, esencialmente porque tampoco en esta ocasión se ha modificado en ningún aspecto el régimen económico-fiscal de Canarias mediante la Ley de presupuestos que se impugna ni tampoco nos encontramos ante un supuesto de legislación financiera o tributaria que afecte al régimen económico-fiscal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denominada “compensación a satisfacer por la Comunidad Autónoma de Canarias por la supresión del IGTE”, que aparece reflejada en el estado de ingresos del presupuesto del Estado (sección 98), se reputa inconstitucional por su impacto negativo sobre los ingresos que corresponden a la Comunidad Autónoma, lo que se considera que contraviene los arts. 156.1 y 157.1 CE, y el art. 49 EACan, toda vez que dicha compensación opera, según la demanda, sobre la participación en ingresos del Estado, actualmente denominada “fondo de suficiencia”, reduciendo las transferencias recibidas por este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concreta impugnación fue abordada y resuelta en los fundamentos jurídicos 7 a 10 de la STC 101/2013, que procede igualmente dar por reproducidos aquí para desestimar también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