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237</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21 de octubre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21 de junio de 2012 en el Registro General del Tribunal, don Rafal Díez Usabiaga interpuso recurso de amparo, registrado con el núm. 3794-2012, contra la Sentencia de la Sala de lo Penal del Tribunal Supremo recaída en el recurso de casación núm. 11773-2011, que fue formulado contra la Sentencia dictada por la Sección Cuarta de la Sala de lo Penal de la Audiencia Nacional en el rollo núm. 95-2009.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presentado en el Registro General de este Tribunal el 3 de septiembre de 2013, doña Ana Lobera Argüelles, Procuradora de los Tribunales y de don Rafael Díez Usabiaga, presentó un escrito solicitando la abstención, y en su defecto promoviendo la recusación, del Excmo. Sr. Presidente del Tribunal en el recurso de amparo núm. 3794-2012.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7 de octubre de 2013, la Sala Primera acordó, conforme a lo dispuesto en el art. 10.1 k) de la Ley Orgánica del Tribunal Constitucional, remitir al Pleno del Tribunal, el escrito de recusación para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indicado escrito se aduce la concurrencia de la causa de recusación 10 de las previstas en el art. 219 de la Ley Orgánica del Poder Judicial (LOPJ), en atención a que, según resulta de lo publicado en diversos medios de comunicación, el Excmo. Sr. Presidente del Tribunal estuvo afiliado al Partido Popular entre los años 2008 a 2011.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recusante, tras recordar la doctrina del Tribunal Europeo de Derechos Humanos y la jurisprudencia del Tribunal Constitucional sobre el derecho a un juez imparcial y a un proceso con todas las garantías, señala que el Excmo. Sr. Magistrado don Francisco Pérez de los Cobos Orihuel estaba afiliado al Partido Popular en el momento de ser elegido Magistrado del Tribunal Constitucional en diciembre de 2010, habiendo mantenido esa condición hasta fecha que se desconoce e ignorándose por tanto, si en la actualidad sigue siendo militante del citado partido político. Destaca también que es público y notorio, pero se ha acreditado igualmente a través de los datos recogidos en el escrito de recusación, que los dirigentes del Partido Popular y sus cargos institucionales han manifestado reiteradamente su opinión a favor de una condena penal, y de su cumplimiento íntegro, del recurrente en amparo. Continúa argumentado la parte recusante que los estatutos del Partido Popular, al igual que los de cualquier otra formación política, establecen una serie de obligaciones para sus militantes, entre las que se encuentran cumplir las instrucciones y directrices emanadas de sus órganos de gobierno y grupos institucionales [art. 7.1 b) de los estatutos]. Y no cabe duda, a su juicio, que el apoyo y respaldo a las condenas, entre otros del recurrente en amparo, dictadas en el sumario núm. 56-2009 del Juzgado Central de Instrucción núm. 5 (caso Beteragune) se configura como una clara directriz e instrucción del Partido Popular que han de cumplir y respetar todos sus militantes.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ello, afirma la parte recusante, que si bien no se puede concluir que el Magistrado recusado tenga un interés directo en la causa —ya que no se ventilan en ella asuntos que le afectan directa y especialmente, y ningún beneficio o perjuicio puede derivarse inmediatamente para él de la Sentencia que se dicte en su día—, sí puede afirmarse un interés en que la opinión del Partido Popular sobre el resultado final del proceso penal seguido contra el recurrente y otros se vea respaldada por la decisión que recaiga en el presente recurso de amparo como muestra de su lealtad al partido y a sus dirigentes.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juicio, no estamos ante un supuesto de mera afinidad ideológica, sino ante una afiliación a un partido político que entraña la aceptación de unas jerarquías y directrices reflejadas en sus estatutos; no se trata de despojar a los Magistrados de toda afinidad ideológica, sino de extremar el rigor y ofrecer en caso de duda, la interpretación más favorable a la imparcialidad. Por todo ello, considera que, dada la virtualidad que tiene siempre la apariencia de imparcialidad, ha de concluirse que la imagen y posible pérdida de imparcialidad que se plantea se halle en este caso objetiva, suficiente y legítimamente justificada, por lo que conforme a los arts. 24.2 CE y 6.1 del Convenio europeo para la protección de los derechos humanos y de las libertades fundamentales, y el art. 219.10 LOPJ procede la recusación.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 don Rafael Díez Usabiaga solicita la abstención, y en su defecto promueve la recusación, del Magistrado de este Tribunal Constitucional Sr. Pérez de los Cobos, quien en la actualidad desempeña el cargo de Presidente, al apreciar que concurre en él, la causa 10 (tener interés directo o indirecto en el pleito o causa) de las previstas en el art. 219 de la Ley Orgánica del Poder Judicial (LOPJ), cuya aplicación a los Magistrados constitucionales viene propiciada por el art. 80 de la Ley Orgánica del Tribunal Constitucional (LOTC). Debe señalarse que siendo la abstención una actuación procesal cuya realización compete exclusivamente a la iniciativa del Magistrado que se considere incurso en alguna de las causas legales establecidas al efecto, sólo cabe valorar el escrito presentado desde su vertiente de pretensión recusatoria.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los presupuestos procesales de admisibilidad de la recusación, debe recordarse que, tal y como establece el primer párrafo del art. 223.1 LOPJ, “la recusación deberá proponerse tan pronto como se tenga conocimiento de la causa en que se funde, pues, en otro caso, no se admitirá a trámite”. Tan inequívoco aserto establece una causa de inadmisión a limine, cuya razón legal está inspirada en evitar que la posibilidad de recusación de cualquier juez llegue a convertirse en una suerte de amenaza o presión para el juzgador, erigiéndose en un instrumento que la parte pudiera interesar a su conveniencia, sine die, amparado en la indeterminación —o difícil probanza— del momento de la citada toma de conocimiento [ATC 180/2013, de 17 de septiembre, FJ 2 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Concretamente, la parte recurrente expone que la noticia se publicó el pasado 18 de julio del presente año en diferentes medios de comunicación, y, como ha quedado reflejado en los antecedentes de esta resolución, el escrito promoviendo la recusación ha sido presentado el 3 de septiembre de 2013. Han transcurrido, por tanto, once días hábiles (cuarenta y siete días naturales) desde que el recusante tomó conocimiento de los hechos hasta que promovió el incidente de recusación; de acuerdo con la interpretación que la STC 88/2013, de 11 de abril, FJ 3, realizó del art. 85.2 LOTC, debe considerarse que el escrito ha sido presentado dentro del plazo fijado en el art. 223.1 LOPJ, que por vía de analogía resulta de aplicación al presente.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perjuicio de cuanto antecede, debe advertirse que el escrito de recusación recoge hechos y fundamentos legales que ya han sido examinados por el Pleno de este Tribunal en el reciente ATC 180/2013, de 17 de septiembre, en el que se recuerda que la Constitución no prohíbe a los Magistrados constitucionales la afiliación a partidos políticos o sindicatos sino que tan solo establece que la condición de miembro del Tribunal Constitucional es incompatible con el desempeño de funciones directivas en un partido político o en un sindicato y con el empleo al servicio de los mismos (arts. 159.4 CE y 19.1.6 LOTC); regulación equiparable en este punto a las de Alemania (art. 18.2 de la Ley del Tribunal Constitucional Federal, de 12 de marzo de 1951), Italia (Ley de 11 de marzo de 1953), Francia (art. 2 del Decreto núm. 59-1292, de 13 de noviembre de 1959) o Portugal (arts. 28 y 29.2 de la Ley 28/1982, de 15 de noviembre).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criterio, afirmado ya en el ATC 226/1988, de 16 de febrero, FJ 3, es coincidente con la jurisprudencia del Tribunal Europeo de Derechos Humanos, que en la STEDH de 22 junio de 2004, caso Pabla Ky c. Finlandia, ha tenido la oportunidad de señalar que la afiliación política de los miembros de los Tribunales no afecta por sí misma a su imparcialidad si no guarda conexión o vínculo con las partes en el procedimiento o con la sustancia del litigio (§ 33), excluyendo así la vulneración del art. 6.1 del Convenio (§ 35). Del mismo modo, “conforme a nuestra Constitución, la mera afiliación a los partidos políticos es un derecho del que no están privados los Magistrados constitucionales [y] no cabe asociar a su ejercicio consecuencias automáticas que afecten a su idoneidad para el desempeño de su función” (ATC 180/2013, de 17 de septiembre,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Igualmente debemos dar por reproducida nuestra doctrina sobre la garantía y el deber de imparcialidad de los Magistrados constitucionales contenida en el fundamento jurídico 2 del mencionado ATC 180/2013, de 17 de septiembre, importando ahora tan solo destacar que, concretamente, por lo que se refiere a la causa de recusación establecida en el art. 219.10 LOPJ, consistente en “tener interés directo o indirecto en el pleito o causa”, ha de tratarse de un interés singularizado en relación con el concreto proceso en que se plantee la recusación (ATC 26/2007, de 5 de febrero, FJ 7) y actual, esto es, concurrente en el momento en que se promueve el apartamiento del Magistrado mediante su recusación.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se cumplen tales condiciones. En particular no se hace en el escrito de recusación ningún esfuerzo argumental para individualizar el supuesto beneficio o ventaja que para el Magistrado Sr. Pérez de los Cobos se derivaría del resultado del presente recurso de amparo, siendo doctrina consolidada de este Tribunal, que arranca del ATC 109/1981, de 30 de octubre, que para que una solicitud de recusación pueda ser admitida es requisito imprescindible que el escrito en que se formule exprese, concreta y claramente, una causa de recusación de las previstas legalmente, con expresión de los motivos en que se funda, pero también acompañando un principio de prueba sobre los mismos, en este caso sobre el concreto beneficio resultante para el Magistrado recusado (entre otros, AATC 126/2008, de 14 de mayo, FJ 2; 351/2008, de 4 de noviembre, FJ 2; y 40/2011, de 12 de abril, FJ 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promovida por don Rafael Díez Usabiaga en el recurso de amparo núm. 3794-2012.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octubre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Luis Ignacio Ortega Álvarez al Auto del Pleno que inadmite a trámite el incidente de recusación promovido por don Rafael Díez Usabiaga en el asunto 3794-2012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al sentir de la mayoría del Tribunal, expreso mi discrepancia con el fallo y la fundamentación jurídica del Auto de referencia remitiéndome a lo ya manifestado en el Voto particular que formulé al ATC 180/2013, de 17 de septiembre, que inadmitió a trámite anteriores incidentes de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veintiuno de octubre de dos mil trece.ón.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