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7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Auto y providencia dictados por la Sección Primera de la Sala de lo Contencioso-Administrativo del Tribunal Supremo en el recurso de casación núm. 1504-2011 interpuesto contra la Sentencia de 19 de enero de 2011 dictada por la Sección Segunda de la Sala de lo Contencioso-Administrativo de la Audiencia Nacional en el procedimiento ordinario 449-2007.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30 de octubre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 1713-2012.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 1504-2011, que ha sido impugnado en el presente recurso de amparo núm. 1713-2012.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núm.1713-2012,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