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14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julio de 2013 tuvo entrada en el Registro General de este Tribunal un escrito del Secretario Judicial del Juzgado de lo Social núm. 34 de Madrid al que se acompaña, junto con el testimonio del procedimiento núm. 453-2012, sobre despido, que se tramita ante dicho Juzgado, el Auto de 11 de abril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16 de abril de 2012, doña María Izquierdo Rodríguez presentó demanda de reclamación de cantidad y de despido frente al grupo de empresas integrado por Terravision España, S.L.U., Consorzio Italia Servizi Turistici Scarl, Terravision London LTD Sucursal en España, Terravision London Limited (con nuevo nombre Baerlein Limited), y Terravision Real Estate Limited, en la que, junto a la cuantía reclamada, solicitaba al Juzgado de lo Social que la extinción por causas objetivas que le había sido notificada el 27 de enero de 2012, con efectos de 26 de febrero de 2012, fuera declarada como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18 de abril de 2012 en el Juzgado de lo Social núm. 34 de Madrid, que por decreto de 3 de mayo de 2012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9 de enero de 2013, concluso el procedimiento y dentro del plazo para dictar Sentencia, el Magistrado-Juez dictó providencia el 1 de febrero de 2013,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y tras razonar sobre la competencia en el caso de los Juzgados y Tribunales del orden social españoles y la aplicación del derecho laboral español,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—26 de febrero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11 de abril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parte de la trabajadora demandante se presentó escrito registrado el 25 de febrero de 2013, en el que mostraba su apoyo a las razones de inconstitucionalidad detalladas en la providencia y a la posibilidad de acudir al Tribunal Constitucional. Asimismo ponía de relieve que, pese a que la extinción fue comunicada el 27 de enero de 2012 con efectos de 26 de febrero de 2012, la empresa ya no le permitió a partir de dicha comunicación ejercer su prestación laboral, computando ese tiempo como vacaciones disfrutadas, de ahí que aducía que los efectos de la extinción se produjeron desde la indicada comunicación, fecha en que estaba en vigor la normativa previa al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registrado el 21 de marzo de 2013,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consta en las actuaciones que la parte demandada presentara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11 de abril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11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28 de junio de 2013, el Juzgado de lo Social núm. 34 de Madrid dictó nuevo Auto de “medidas provisionales no nucleares”, en el que, tras fijar los hechos probados del litigio —incluida la antigüedad de la trabajadora en la empresa desde 6 de noviembre de 2010—, declara y fundamenta su competencia y la de la jurisdicción española sobre el caso, estima la reclamación de cantidad respecto a determinados conceptos, y asimismo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las codemandadas Terravisión España, S.L.U., Terravisión London LTD sucursal en España, consorzio Italia Servizi Turistici Scarl, Barlein Limited y Terravisión Real Estate Limited a que opten entre readmitir con mantenimiento de la relación laboral y abono de los salarios dejados de percibir desde el día siguiente al despido y hasta la fecha en que la reincorporación tenga lugar efectivamente o resolver el contrato indemnizando a la trabajadora despedida doña María Izquierdo Rodríguez en la suma de siete mil cien euros con setenta y nueve centimos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 la trabajadora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la opción deberán abonarle igualmente, con carácter solidario, la indemnización compensadora de la falta de preaviso de mil seiscientos noventa y siete euros con cuarenta y seis centimos de euro (quince días de salario) y el importe de la reclamación de cantidad de mil cuatrocientos cuarenta y siete euros con sesenta y cinco centimos de euro.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11 de abril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sobre la competencia en el caso de la jurisdicción social española y la aplicación del Derecho laboral español, así como sobre los motivos por los que considera que la extinción enjuiciada debe ser calificada como despido improcedente, señalando que, atendida la fecha de efectos de la extinción —que fija en el 26 de febrero de 2012—, las consecuencias de dicha calificación deben ser las previstas en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alega la doctrina establecida en la STC 181/2000 y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CE).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septiembre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24 de octubre de 2013, en el que interesa la inadmisión a trámite de la cuestión de inconstitucionalidad planteada, tanto por carecer de objeto al haberse resuelto el fondo de la acción ejercitada, como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 argumento, y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determinada indemnización.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la cuantía de la indemnización,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11 de abril de 2013 y de 28 de junio de 2013 es la voluntad renuente a la adopción de la medida dispuesta en el art. 35.3 LOTC, consistente en la suspensión del procedimiento hasta la definitiva resolución de la cuestión por el Tribunal Constitucional. A su juicio, afirmar que lo resuelto por el Auto de 28 de junio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cuestión, y tras precisar el alcance de la STC 181/2000, el Fiscal General del Estado afirma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y de un incumplimiento contractual en el ámbito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el más beneficioso de los posibles. Dicho esto, el Fiscal indica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 Por ello, concluye que, en la nueva redacción dada al art. 56.1 y 2 LET, se cumplen las exigencias derivadas del art. 35.1 CE, y asimismo la última consideración expuesta le lleva también a descartar la contravención del art. 86.1 CE, con apoyo en la doctrina establecida en el ATC 180/2011, FJ 6, y fundamentando su afirmación en algunos fragmentos de la exposición de motivos del Real Decreto-ley 3/2012.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cuanto a la puesta en cuestión del art. 18.8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dicho, el Fiscal General del Estado considera que la cuestión de inconstitucionalidad resulta notoriamente infundada en cuanto a la disposición transitoria quinta en relación con el art. 18.7 y respecto del art. 18.8 del Real Decreto-ley 3/2012.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ATC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respetadas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FJ 3, cuyas apreciaciones y conclusiones resumimos a continuación, procediendo a su aplicación en el supuesto ahora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ATC 186/2009, de 16 de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las codemandadas a que, en el plazo de cinco días, opten entre readmitir a la trabajadora con abono de los salarios dejados de percibir o resolver el contrato con el pago de la indemnización indicada. Con esa decisión, por tanto, el Magistrado-Juez está haciendo directa aplicación de las normas del Real Decreto-ley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