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2569-2013, promovido por el Ministerio Fiscal contra el Auto del Juzgado de Primera Instancia e Instrucción núm. 5 de Puerto del Rosario de 27 de marzo de 2013, por el que se desestimó el incidente de nulidad de actuaciones interpuesto contra el Auto de 5 de febrero de 2013 —aclarado por Auto de 6 de febrero de 2013—, por el que se acordó no admitir la incoación del procedimiento de habeas corpus núm. 134-2013.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Ministerio Fiscal interpuso demanda de amparo contra las resoluciones que se mencionan en el encabezamiento mediante escrito registrado en este Tribunal el 29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 de febrero de 2013 fue presentada una solicitud de incoación de procedimiento de habeas corpus ante el Juzgado de Primera Instancia e Instrucción núm. 5 de Puerto del Rosario, que fue tramitada con el núm. 134-2013. La solicitud se fundamentaba en que la situación de detención por la Guardia Civil no estaba justificada, ya que “no se ha cometido hecho delictivo alguno”. El Ministerio Fiscal, mediante comparecencia personal en el Juzgado, interesó la admisión de la solicitud de habeas corpus por considerar que concurrían los presupuestos legales para su admisión, previstos en los artículos 1 y 4 de la Ley Orgánica 6/1984,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5 de febrero de 2013 se acordó denegar la incoación del procedimiento de habeas corpus. El argumento fue que “en el presente supuesto al indicar el motivo concreto por el que se solicita el habeas corpus no se expresa ninguno de los contenidos en el apartado primero de la ley, se limita a indicar el detenido que lo interpone por considerar que no se ha cometido hecho delictivo alguno, cuestión que corresponde decidir al Juez competente, dado que se encuentra imputado por un delito concreto de violencia de género…” (fundamento jurídico tercero). El Auto fue aclarado por Auto de 6 de febrero de 2013 en el sentido de suprimir un párrafo del fallo que no tenía relación con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mediante escrito registrado el 21 de febrero de 2013, formuló un incidente de nulidad de actuaciones, argumentando que, de conformidad con una reiterada jurisprudencia del Tribunal Constitucional, la no admisión de la incoación del procedimiento de habeas corpus con fundamento en la no concurrencia de alguna de las situaciones legales de detención previstas en el art. 1 de la Ley Orgánica 6/1984 vulnera el art. 17.4 CE, ya que supone entrar a conocer sobre cuestiones de fondo que deben ser resueltas tras la tramitación del procedimiento de habeas corpus. La nulidad de actuaciones fue denegada por Auto de 27 de marzo de 2013, con el argumento de que al detenido no se le causó ningún perjuicio, pues fue puesto a las pocas horas de su detención a disposición del Juzgado especializado de violencia contra la mujer y éste resolvió sobre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solicita que se declare la vulneración del derecho a la libertad personal (art. 17.1 y 4 CE) y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órgano judicial, una vez solicitada la incoación del procedimiento de habeas corpus, procedió a su no admisión a limine con una argumentación estereotipada en que se limitaba a señalar que la petición no se encuadraba en ninguno de los supuestos del art. 1 de la Ley Orgánica 6/1984. Argumenta que esta decisión lesiona el derecho a la libertad personal del art. 17.1 y 4 CE, y contradice abiertamente la consolidada y reiterada doctrina de este Tribunal acerca de la efectividad del control judicial de las situaciones de privación de libertad, no acordadas judicialmente, conforme a la cual “el enjuiciamiento sobre la legalidad de la detención (policial), una vez constatada su realidad, debe llevarse a cabo en el juicio de fondo, por lo que no puede acordarse la no admisión de la solicitud por este motivo, sin examinar las circunstancias concurrentes y previa comparecencia y audiencia de la persona privada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órgano judicial, una vez constatado que se cumplían todos los requisitos formales del art. 4 de la Ley Orgánica 6/1984, tenía la obligación constitucional, tal como fue informado por el Ministerio Fiscal, de acordar la incoación del procedimiento de habeas corpus. Igualmente dice que no resulta admisible fundamentar la decisión de no admisión en que el órgano competente para conocer sobre la concurrencia del delito eventualmente cometido por el detenido fuera un órgano judicial especializado, ya que es al Juez de instrucción del lugar donde se encuentre la persona privada de libertad al que corresponde resolver sobre la petición de habeas corpus. Por último, el Ministerio Fiscal también afirma que la decisión de desestimar el incidente de nulidad perpetuó la vulneración constitucional del art. 17.1 y 4 CE, ya que el argumento de que no hubo una indefensión material por no existir un perjuicio real no puede ser compartido. Por un lado, lo alegado en el incidente no era la existencia de una indefensión sino una lesión directa e inmediata del derecho a la libertad personal. Por otro, sí se causó un perjuicio al detenido derivado del incumplimiento por el Juez de instrucción de su función de garante del derecho a la libertad y de la negativa de controlar las circunstancias de su detención policial, privándole de la vía constitucional existente para reparar las lesiones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STC 155/2009, de 25 de junio, FJ 2, justifica la especial transcendencia constitucional de este recurso, en primer lugar, en la negativa manifiesta del órgano judicial al deber de acatamiento de la doctrina del Tribunal Constitucional, ya que, a pesar de que le fue puesta de manifiesto, no se hizo una aplicación de la misma. En segundo lugar, también fundamenta la especial trascendencia constitucional del recurso en que la jurisprudencia del Tribunal Constitucional sobre este particular está siendo incumplida de modo general y reiterado por la jurisdicción ordinara, tal como se acredita del análisis de los distintos y reiterados pronunciamientos del Tribunal Constitucional, y especialmente por este Juzgado de instrucción, adjuntando diversas resoluciones de no admisión de procedimientos de habeas corpus. Expone que “se trata, por tanto, de un supuesto deliberado de reiterado, sistemático y persistente incumplimiento de la doctrina constitucional por parte del mismo órgano judicial, que provoca, como consecuencia, la neutralización ab initio de su función de garante del derecho a la libertad personal. Esta mala praxis judicial contribuye a un fenómeno de ‘banalización’ del derecho a la libertad personal, incompatible con la noción de Estado constitucional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7 de octubre de 2013, acordó admitir a trámite la demanda de amparo y, en aplicación de lo dispuesto en el art. 51 de la Ley Orgánica del Tribunal Constitucional (LOTC), requerir al órgano judicial la remisión del testimonio de las actuaciones y el emplazamiento de quienes hubieran sido parte en el procedimiento para que pudiesen comparecer en el plazo de diez días en el proceso de amparo. Igualmente, se acordó también la publicación de la admisión en el “Boletín Oficial del Estado”, de conformidad con lo previsto en el art. 46.2 LOTC, a efectos de comparecencia de otros posibles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4 de diciembre de 2013, acordó tener por recibido el testimonio de las actuaciones, dejar constancia de que no se había efectuado personación alguna y dar vista de las actuaciones al Ministerio Fiscal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7 de enero de 2014, presentó sus alegaciones reproduciendo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2014,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denegar la incoación del procedimiento de habeas corpus ha vulnerado el derecho del detenido a su libertad personal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exponer el marco y la jurisprudencia constitucionales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requisitos exigidos por las leyes; las que estén ilícitamente internadas en cualquier establecimiento o lugar; las que lo estuvieran por plazo superior al señalado en las leyes; y a quienes no les sean respetados los derechos que la Constitución y las leyes procesales garantizan a toda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jurisprudencia en relación con esta previsión constitucional y la incidencia que sobre ella tienen las decisiones judiciales de no admisión a trámite de la solicitud de habeas corpus. Ha declarado que, aun cuando la LOHC posibilita denegar la incoación de un procedimiento de habeas corpus, fundamentar la decisión de no admisión en que el recurrente no se encontraba ilícitamente privado de libertad por no concurrir ninguno de los supuestos del art. 1 LOHC vulnera el art. 17.4 CE, ya que implica una resolución sobre el fondo que solo puede realizarse una vez sustanciado el procedimiento.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(STC 35/2008,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es reiterada e inequívoca (entre otras, SSTC 21/1996, de 12 de febrero, FJ 7; 66/1996, de 16 de abril, FJ 6; 86/1996, de 21 de mayo, FJ 11; 224/1998, de 24 de noviembre, FJ 5; 174/1999, de 27 de septiembre, FJ 5; 232/1999, de 13 de diciembre, FJ 4; 179/2000, de 26 de junio, FJ 5; 208/2000 y 209/2000, de 24 de julio, FJ 5; 233/2000, de 2 de octubre, FJ 5; 263/2000, de 30 de octubre, FJ 3; 287/2000, de 27 de noviembre, FJ 4; 288/2000, de 27 de noviembre, FJ 6; 24/2002, de 25 de noviembre, FJ 5; 94/2003, de 19 de mayo, FJ 3; 23/2004, de 23 de febrero, FJ 5; 122/2004, de 12 de julio, FJ 3; 37/2005, de 28 de febrero, FJ 3; 29/2006, de 30 de enero, FJ 3; 46/2006, de 13 de febrero, FJ 2; 93/2006, de 27 de marzo, FJ 3; 169/2006, de 5 de junio, FJ 2; 165/2007, de 2 de julio, FJ 4; 35/2008, de 25 de febrero, FJ 2; 37/2008, de 25 de febrero, FJ 3; 147/2008, de 10 de noviembre, FJ 2; 172/2008, de 18 de diciembre, FJ 3; 88/2011, de 6 de junio, FJ 4, y 95/2012,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este Tribunal puede observar es grave, carece de justificación y dota de especial trascendencia constitucional a este recurso. De ese modo, se hace necesario reiterar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 continuación, examinar y enjuiciar 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como se ha expuesto más detalladamente en los antecedentes, el detenido presentó un escrito solicitando la incoación de un procedimiento de habeas corpus alegando que su detención era ilegal porque no había cometido hecho delictivo alguno. El Ministerio Fiscal presentó informe favorable a la admisión a trámite del procedimiento por considerar que se cumplían los presupuestos legales necesarios: la situación de privación de libertad por autoridad no judicial y los requisitos formales previstos en el art. 4 LOHC. El órgano judicial, sin embargo, decidió no admitir a trámite la demanda de habeas corpus fundándose en el argumento de que el detenido se limitó a indicar en su solicitud que no había cometido ningún delito y que esa cuestión correspondía decidirla al Juez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y la consiguiente decisión vulneran el art. 17.4 CE. La solicitud de habeas corpus se fundamentó en que el detenido consideraba que su privación de libertad era ilegal por no haber cometido hecho delictivo alguno. Esta afirmación pone de manifiesto que el detenido entendía que su privación de libertad se había realizado fuera de los supuestos en que la legislación procesal penal autoriza esa privación. Se aducía, pues, una detención ilegal, a la que se refiere el art. 1 a) LOHC como uno de los supuestos que fundamentan el habeas corpus. La finalidad del procedimiento de habeas corpus no es pronunciarse sobre la inocencia o culpabilidad del detenido, sino que constituye uno de sus objetos analizar el cumplimiento de los presupuestos de la legalidad de una detención preventiva, como es que existan indicios de haberse cometido un delito del que el detenido pueda ser responsable; y esto es lo que se solicitó por el detenido. Lo que se instaba en su escrito de solicitud de habeas corpus no podía entenderse como un pronunciamiento sobre la eventual responsabilidad penal del detenido, sino sobre si concurrían los presupuestos legales habilitantes para la detención gubernativa, cuyo examen oyendo al detenido mediante la sustanciación del habeas corpus es competencia del Juez de instrucción del lugar en que se encuentra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verificado que el solicitante de habeas corpus estaba en una situación de privación de libertad no acordada judicialmente y que concurrían todos los requisitos formales exigidos por la LOHC, era constitucionalmente obligada la admisión a trámite del procedimiento. Al no haberse hecho así se vulneró el art. 17.4 CE y procede declarar la nulidad de las resoluciones impugnadas. No es precisa la retroacción de actuaciones, la cual carecería de eficacia alguna por haber cesado la situación de privación de libertad a cuyo control de legalidad está orientado el procedimiento de habeas corpus (STC 95/2012, de 7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la libertad personal (arts.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del Juzgado de Primera Instancia e Instrucción núm. 5 de Puerto del Rosario de 5 de febrero de 2013 —aclarado por Auto de 6 de febrero de 2013— y de 27 de marzo de 2013 en el procedimiento de habeas corpus núm. 134-2013.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