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25 de marzo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el Auto de 14 de noviembre de 2013 dictado por la Sección Primera de la Sala de lo Contencioso-Administrativo del Tribunal Supremo que declaró la inadmisión del recurso de casación 1537-2013 interpuesto contra la Sentencia de 22 de febrero de 2013 dictada por la Sección Séptima de la Sala de lo Contencioso-Administrativo del Tribunal Superior de Justicia de Madrid en el recurso núm. 1197-2010.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25 de marzo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 14 de noviembre de 2013, resolución impugnada en el presente recurso de amparo núm. 141-2014.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 14 de noviembre de 2013, resolución que ha sido impugnada en el presente recurso de amparo núm. 141-2014.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141-2014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