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21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octubre de 2013, el Procurador de los Tribunales don Javier Cuevas Rivas, en nombre y representación de don Raúl Ibáñez Díez, interpuso demanda de amparo contra el Auto de la Sala de lo Penal del Tribunal Supremo de 9 de mayo de 2013, por el que se declara no haber lugar a la admisión del recurso de casación núm. 10149-2013 interpuesto contra el Auto del Pleno de la Sala de lo Penal de la Audiencia Nacional de 10 de diciembre de 2012 en la ejecutoria núm. 76-1996, sobre licenciamiento.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por providencia de 26 de febrero de 2014, recibidas las actuaciones y a la vista de la resolución de 14 de noviembre de 2013 acordando la puesta en libertad del recurrente y declarando extinguidas sus responsabilidades penales, acordó conceder un plazo de cinco días a las partes personadas para que, en virtud del art. 84 de la Ley Orgánica del Tribunal Constitucional, alegaran lo que estimaran conveniente sobre la perdida de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presentó alegaciones mediante escrito registrado el 4 de marzo de 2014, en el que consideró que existía pérdida sobrevenida de objeto del recurso de amparo al haberse producido, tras la admisión de la demanda, la reparación por el Auto de la Sala de lo Penal de la Audiencia Nacional de 15 de noviembre de 2013 de la lesión del derecho a la libertad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alegaciones mediante escrito registrado el 10 de marzo de 2014, en el que consideró que existía la pérdida sobrevenida de objeto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los Autos se desprende que el Pleno de la Sala de lo Penal de la Audiencia Nacional resolvió hacer extensiva la aplicación de la Sentencia del Tribunal Europeo de Derechos Humanos de 21 de octubre de 2013 por la similitud existente con las pretensiones del demandante de amparo y, en consecuencia, descontar las redenciones de pena por el trabajo del máximo de cumplimiento, acordando la inmediata puesta en libertad del recurrente y declarando extinguidas sus responsabilidades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satisfecha la pretensión que el demandante sostuvo en su recurso de amparo y habiéndose decretado su puesta en libertad, de conformidad con lo dispuesto en los arts. 80 y 86.1 de la Ley Orgánica del Tribunal Constitucional (LOTC), en relación con el art. 22 de la Ley de enjuiciamiento civil, procede declarar la pérdida de objeto del presente recurso, en tanto que la continuación del proceso no satisface ningún interés.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