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29 de junio de 2011, doña Ángeles Vegas Ballesteros, Procuradora de los Tribunales y de don Pedro Antonio Seco Martínez, interpuso recurso de amparo contra la Sentencia de la Sala de lo Penal del Tribunal Supremo de 3 de mayo de 2011, dictada en recurso de casación contra Auto de la Audiencia Provincial de Albacete sobre la determinación de su fecha de licenciamiento.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Acordada la admisión a trámite por la Sala Primera de este Tribunal mediante providencia de 26 de marzo de 2012, la Audiencia Provincial remitió Auto de 14 de noviembre de 2013 por el que se acordó la puesta en libertad de la recurrente. La Sala, por providencia de 16 de diciembre de 2013, acordó conceder un plazo de cinco días a las partes personadas para que, en virtud del art. 84 de la Ley Orgánica del Tribunal Constitucional, alegaran lo que estimaran conveniente sobre la perdida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presentó alegaciones mediante escrito registrado el 23 de diciembre de 2013, en el que consideró que el Tribunal debería entrar al fondo de la pretensión ejercitada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la acusación particular en el proceso a quo manifestó en escrito de 24 de diciembre de 2014 su no oposición a la declaración de pérdida de objeto del proceso, quejándose de la tardanza en la resolución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mediante escrito de 14 de enero de 2014, tampoco se opuso a tal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la manifestación efectuada por la representación procesal del recurrente, se acordó otorgar un plazo de diez días a las partes personadas para que alegaran lo que a su derecho conviniera. Solamente el Ministerio Fiscal cumplimentó tal trámite, reiterando, mediante escrito de 10 de marzo de 2014, sus anteriores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los autos se desprende que por Auto de la Audiencia Provincial de Albacete de 14 de noviembre de 2013 se resolvió hacer extensiva la aplicación de la Sentencia del Tribunal Europeo de Derechos Humanos de 21 de octubre de 2013, por la similitud existente con las pretensiones del demandante de amparo. Y en consecuencia tomar como referencia el tope máximo de treinta años, para, a partir de él, hacer los descuentos que correspondan por redenciones, y acordar la libertad de la recurrente. En dicho Auto se acordó la inmediata puesta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reconocía que las redenciones debían ser abonadas del tope máximo de treinta años. Precisamente esa fue la pretensión que el demandante sostuvo en su recurso de amparo. Habiéndose decretado la puesta en libertad del recurrente,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